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5777DC" w14:textId="2233547C" w:rsidR="00B431B9" w:rsidRPr="0009010D" w:rsidRDefault="00B431B9" w:rsidP="00B431B9">
      <w:pPr>
        <w:spacing w:line="360" w:lineRule="auto"/>
        <w:jc w:val="center"/>
        <w:rPr>
          <w:rFonts w:ascii="Times New Roman" w:hAnsi="Times New Roman" w:cs="Times New Roman"/>
          <w:b/>
          <w:sz w:val="32"/>
          <w:szCs w:val="32"/>
        </w:rPr>
      </w:pPr>
      <w:r w:rsidRPr="0009010D">
        <w:rPr>
          <w:rFonts w:ascii="Times New Roman" w:hAnsi="Times New Roman" w:cs="Times New Roman"/>
          <w:b/>
          <w:sz w:val="32"/>
          <w:szCs w:val="32"/>
        </w:rPr>
        <w:t>The fifth metatarsal bone fracture in athletes - modalities of treatment related to agility in soccer players</w:t>
      </w:r>
    </w:p>
    <w:p w14:paraId="4C39E810" w14:textId="2529DE7C" w:rsidR="00B431B9" w:rsidRDefault="00B431B9" w:rsidP="00B431B9">
      <w:pPr>
        <w:spacing w:line="360" w:lineRule="auto"/>
        <w:jc w:val="both"/>
        <w:rPr>
          <w:rFonts w:ascii="Times New Roman" w:hAnsi="Times New Roman" w:cs="Times New Roman"/>
          <w:sz w:val="24"/>
          <w:szCs w:val="24"/>
          <w:vertAlign w:val="superscript"/>
        </w:rPr>
      </w:pPr>
      <w:r w:rsidRPr="00B431B9">
        <w:rPr>
          <w:rFonts w:ascii="Times New Roman" w:hAnsi="Times New Roman" w:cs="Times New Roman"/>
          <w:sz w:val="24"/>
          <w:szCs w:val="24"/>
        </w:rPr>
        <w:t>Krzysztof Ficek</w:t>
      </w:r>
      <w:r w:rsidRPr="00B431B9">
        <w:rPr>
          <w:rFonts w:ascii="Times New Roman" w:hAnsi="Times New Roman" w:cs="Times New Roman"/>
          <w:sz w:val="24"/>
          <w:szCs w:val="24"/>
          <w:vertAlign w:val="superscript"/>
        </w:rPr>
        <w:t>1,2</w:t>
      </w:r>
      <w:r w:rsidRPr="00B431B9">
        <w:rPr>
          <w:rFonts w:ascii="Times New Roman" w:hAnsi="Times New Roman" w:cs="Times New Roman"/>
          <w:sz w:val="24"/>
          <w:szCs w:val="24"/>
        </w:rPr>
        <w:t>, Natalia Kędra</w:t>
      </w:r>
      <w:r w:rsidRPr="00B431B9">
        <w:rPr>
          <w:rFonts w:ascii="Times New Roman" w:hAnsi="Times New Roman" w:cs="Times New Roman"/>
          <w:sz w:val="24"/>
          <w:szCs w:val="24"/>
          <w:vertAlign w:val="superscript"/>
        </w:rPr>
        <w:t>1,3</w:t>
      </w:r>
      <w:r>
        <w:rPr>
          <w:rFonts w:ascii="Times New Roman" w:hAnsi="Times New Roman" w:cs="Times New Roman"/>
          <w:sz w:val="24"/>
          <w:szCs w:val="24"/>
        </w:rPr>
        <w:t>, Radosław Skowronek</w:t>
      </w:r>
      <w:r w:rsidRPr="00B431B9">
        <w:rPr>
          <w:rFonts w:ascii="Times New Roman" w:hAnsi="Times New Roman" w:cs="Times New Roman"/>
          <w:sz w:val="24"/>
          <w:szCs w:val="24"/>
          <w:vertAlign w:val="superscript"/>
        </w:rPr>
        <w:t>1,3</w:t>
      </w:r>
      <w:r>
        <w:rPr>
          <w:rFonts w:ascii="Times New Roman" w:hAnsi="Times New Roman" w:cs="Times New Roman"/>
          <w:sz w:val="24"/>
          <w:szCs w:val="24"/>
        </w:rPr>
        <w:t>, Kamila Kluczniok</w:t>
      </w:r>
      <w:r w:rsidRPr="00B431B9">
        <w:rPr>
          <w:rFonts w:ascii="Times New Roman" w:hAnsi="Times New Roman" w:cs="Times New Roman"/>
          <w:sz w:val="24"/>
          <w:szCs w:val="24"/>
          <w:vertAlign w:val="superscript"/>
        </w:rPr>
        <w:t>1,3</w:t>
      </w:r>
      <w:r>
        <w:rPr>
          <w:rFonts w:ascii="Times New Roman" w:hAnsi="Times New Roman" w:cs="Times New Roman"/>
          <w:sz w:val="24"/>
          <w:szCs w:val="24"/>
        </w:rPr>
        <w:t>, Magdalena Strózik</w:t>
      </w:r>
      <w:r w:rsidRPr="00B431B9">
        <w:rPr>
          <w:rFonts w:ascii="Times New Roman" w:hAnsi="Times New Roman" w:cs="Times New Roman"/>
          <w:sz w:val="24"/>
          <w:szCs w:val="24"/>
          <w:vertAlign w:val="superscript"/>
        </w:rPr>
        <w:t>1,2</w:t>
      </w:r>
      <w:r>
        <w:rPr>
          <w:rFonts w:ascii="Times New Roman" w:hAnsi="Times New Roman" w:cs="Times New Roman"/>
          <w:sz w:val="24"/>
          <w:szCs w:val="24"/>
        </w:rPr>
        <w:t>, Paweł Gwiazdoń</w:t>
      </w:r>
      <w:r w:rsidRPr="00B431B9">
        <w:rPr>
          <w:rFonts w:ascii="Times New Roman" w:hAnsi="Times New Roman" w:cs="Times New Roman"/>
          <w:sz w:val="24"/>
          <w:szCs w:val="24"/>
          <w:vertAlign w:val="superscript"/>
        </w:rPr>
        <w:t>1,2,4</w:t>
      </w:r>
      <w:r>
        <w:rPr>
          <w:rFonts w:ascii="Times New Roman" w:hAnsi="Times New Roman" w:cs="Times New Roman"/>
          <w:sz w:val="24"/>
          <w:szCs w:val="24"/>
        </w:rPr>
        <w:t>, Grzegorz Hajduk</w:t>
      </w:r>
      <w:r w:rsidRPr="00B431B9">
        <w:rPr>
          <w:rFonts w:ascii="Times New Roman" w:hAnsi="Times New Roman" w:cs="Times New Roman"/>
          <w:sz w:val="24"/>
          <w:szCs w:val="24"/>
          <w:vertAlign w:val="superscript"/>
        </w:rPr>
        <w:t>2</w:t>
      </w:r>
    </w:p>
    <w:p w14:paraId="2485A0BE" w14:textId="0FBD6C55" w:rsidR="00B431B9" w:rsidRPr="00B431B9" w:rsidRDefault="00B431B9" w:rsidP="00B431B9">
      <w:pPr>
        <w:spacing w:line="360" w:lineRule="auto"/>
        <w:rPr>
          <w:rFonts w:ascii="Times New Roman" w:hAnsi="Times New Roman" w:cs="Times New Roman"/>
        </w:rPr>
      </w:pPr>
      <w:r w:rsidRPr="00B431B9">
        <w:rPr>
          <w:rFonts w:ascii="Times New Roman" w:hAnsi="Times New Roman" w:cs="Times New Roman"/>
          <w:b/>
        </w:rPr>
        <w:t>Corresponding author:</w:t>
      </w:r>
      <w:r w:rsidRPr="00B431B9">
        <w:rPr>
          <w:rFonts w:ascii="Times New Roman" w:hAnsi="Times New Roman" w:cs="Times New Roman"/>
        </w:rPr>
        <w:t xml:space="preserve"> </w:t>
      </w:r>
      <w:r>
        <w:rPr>
          <w:rFonts w:ascii="Times New Roman" w:hAnsi="Times New Roman" w:cs="Times New Roman"/>
        </w:rPr>
        <w:br/>
      </w:r>
      <w:r w:rsidRPr="00B431B9">
        <w:rPr>
          <w:rFonts w:ascii="Times New Roman" w:hAnsi="Times New Roman" w:cs="Times New Roman"/>
        </w:rPr>
        <w:t xml:space="preserve">Krzysztof Ficek </w:t>
      </w:r>
      <w:r>
        <w:rPr>
          <w:rFonts w:ascii="Times New Roman" w:hAnsi="Times New Roman" w:cs="Times New Roman"/>
        </w:rPr>
        <w:br/>
      </w:r>
      <w:r w:rsidRPr="00B431B9">
        <w:rPr>
          <w:rFonts w:ascii="Times New Roman" w:hAnsi="Times New Roman" w:cs="Times New Roman"/>
        </w:rPr>
        <w:t xml:space="preserve">Galen-Orthopaedics Jerzego 6, 43-150 Bieruń, Poland </w:t>
      </w:r>
      <w:r>
        <w:rPr>
          <w:rFonts w:ascii="Times New Roman" w:hAnsi="Times New Roman" w:cs="Times New Roman"/>
        </w:rPr>
        <w:br/>
      </w:r>
      <w:r w:rsidRPr="00B431B9">
        <w:rPr>
          <w:rFonts w:ascii="Times New Roman" w:hAnsi="Times New Roman" w:cs="Times New Roman"/>
        </w:rPr>
        <w:t xml:space="preserve">Phone: +48 785-721-897 </w:t>
      </w:r>
      <w:r>
        <w:rPr>
          <w:rFonts w:ascii="Times New Roman" w:hAnsi="Times New Roman" w:cs="Times New Roman"/>
        </w:rPr>
        <w:br/>
      </w:r>
      <w:r w:rsidRPr="00B431B9">
        <w:rPr>
          <w:rFonts w:ascii="Times New Roman" w:hAnsi="Times New Roman" w:cs="Times New Roman"/>
        </w:rPr>
        <w:t xml:space="preserve">Fax: 32/216-44-02 </w:t>
      </w:r>
      <w:r w:rsidR="0009010D">
        <w:rPr>
          <w:rFonts w:ascii="Times New Roman" w:hAnsi="Times New Roman" w:cs="Times New Roman"/>
        </w:rPr>
        <w:br/>
      </w:r>
      <w:r w:rsidRPr="00B431B9">
        <w:rPr>
          <w:rFonts w:ascii="Times New Roman" w:hAnsi="Times New Roman" w:cs="Times New Roman"/>
        </w:rPr>
        <w:t>e-mail: krzysztof.ficek@galen.pl</w:t>
      </w:r>
    </w:p>
    <w:p w14:paraId="17074B7E" w14:textId="3D7923EE" w:rsidR="0009010D" w:rsidRDefault="00B431B9" w:rsidP="00B431B9">
      <w:pPr>
        <w:spacing w:line="360" w:lineRule="auto"/>
        <w:rPr>
          <w:rFonts w:ascii="Times New Roman" w:hAnsi="Times New Roman" w:cs="Times New Roman"/>
        </w:rPr>
      </w:pPr>
      <w:r w:rsidRPr="00B431B9">
        <w:rPr>
          <w:rFonts w:ascii="Times New Roman" w:hAnsi="Times New Roman" w:cs="Times New Roman"/>
        </w:rPr>
        <w:t xml:space="preserve">1 Department of Physiotherapy, The Jerzy Kukuczka Academy of Physical Education, 40-065 Katowice, Poland </w:t>
      </w:r>
      <w:r>
        <w:rPr>
          <w:rFonts w:ascii="Times New Roman" w:hAnsi="Times New Roman" w:cs="Times New Roman"/>
        </w:rPr>
        <w:br/>
      </w:r>
      <w:r w:rsidRPr="00B431B9">
        <w:rPr>
          <w:rFonts w:ascii="Times New Roman" w:hAnsi="Times New Roman" w:cs="Times New Roman"/>
        </w:rPr>
        <w:t xml:space="preserve">2 Department of Science, Innovation and Development, Galen-Orthopaedics, 43-150 Bieruń, Poland </w:t>
      </w:r>
      <w:r>
        <w:rPr>
          <w:rFonts w:ascii="Times New Roman" w:hAnsi="Times New Roman" w:cs="Times New Roman"/>
        </w:rPr>
        <w:br/>
      </w:r>
      <w:r w:rsidRPr="00B431B9">
        <w:rPr>
          <w:rFonts w:ascii="Times New Roman" w:hAnsi="Times New Roman" w:cs="Times New Roman"/>
        </w:rPr>
        <w:t xml:space="preserve">3 Galen Rehabilitation, 43-150 Bieruń, Poland </w:t>
      </w:r>
      <w:r>
        <w:rPr>
          <w:rFonts w:ascii="Times New Roman" w:hAnsi="Times New Roman" w:cs="Times New Roman"/>
        </w:rPr>
        <w:br/>
      </w:r>
      <w:r w:rsidRPr="00B431B9">
        <w:rPr>
          <w:rFonts w:ascii="Times New Roman" w:hAnsi="Times New Roman" w:cs="Times New Roman"/>
        </w:rPr>
        <w:t>4 Department of Biopharmacy, Faculty of Pharmaceutical Sciences in Sosnowiec, Medical University of Silesia, Katowice, Poland, 41-200</w:t>
      </w:r>
      <w:r w:rsidR="0009010D">
        <w:rPr>
          <w:rFonts w:ascii="Times New Roman" w:hAnsi="Times New Roman" w:cs="Times New Roman"/>
        </w:rPr>
        <w:t xml:space="preserve"> Sosnowiec, Poland</w:t>
      </w:r>
    </w:p>
    <w:p w14:paraId="745A0FD8" w14:textId="75BD4BD4" w:rsidR="00EF0315" w:rsidRPr="00EF0315" w:rsidRDefault="00EF0315" w:rsidP="00BA4C13">
      <w:pPr>
        <w:spacing w:line="360" w:lineRule="auto"/>
        <w:jc w:val="both"/>
        <w:rPr>
          <w:rFonts w:ascii="Times New Roman" w:hAnsi="Times New Roman" w:cs="Times New Roman"/>
          <w:b/>
        </w:rPr>
      </w:pPr>
      <w:r w:rsidRPr="00EF0315">
        <w:rPr>
          <w:rFonts w:ascii="Times New Roman" w:hAnsi="Times New Roman" w:cs="Times New Roman"/>
          <w:b/>
        </w:rPr>
        <w:t>Acknowledgment</w:t>
      </w:r>
      <w:r>
        <w:rPr>
          <w:rFonts w:ascii="Times New Roman" w:hAnsi="Times New Roman" w:cs="Times New Roman"/>
          <w:b/>
        </w:rPr>
        <w:br/>
      </w:r>
      <w:r w:rsidRPr="00BA4C13">
        <w:rPr>
          <w:rFonts w:ascii="Times New Roman" w:hAnsi="Times New Roman" w:cs="Times New Roman"/>
        </w:rPr>
        <w:t>This work was suppurted by</w:t>
      </w:r>
      <w:r w:rsidR="00BA4C13" w:rsidRPr="00BA4C13">
        <w:rPr>
          <w:rFonts w:ascii="Times New Roman" w:hAnsi="Times New Roman" w:cs="Times New Roman"/>
        </w:rPr>
        <w:t xml:space="preserve"> the </w:t>
      </w:r>
      <w:r w:rsidR="00BA4C13" w:rsidRPr="00BA4C13">
        <w:rPr>
          <w:rFonts w:ascii="Times New Roman" w:hAnsi="Times New Roman" w:cs="Times New Roman"/>
        </w:rPr>
        <w:t>Department of Science, Innovation and Development, Galen-Orthopaedics</w:t>
      </w:r>
      <w:r w:rsidR="00BA4C13" w:rsidRPr="00BA4C13">
        <w:rPr>
          <w:rFonts w:ascii="Times New Roman" w:hAnsi="Times New Roman" w:cs="Times New Roman"/>
        </w:rPr>
        <w:t xml:space="preserve"> and</w:t>
      </w:r>
      <w:r w:rsidRPr="00BA4C13">
        <w:rPr>
          <w:rFonts w:ascii="Times New Roman" w:hAnsi="Times New Roman" w:cs="Times New Roman"/>
        </w:rPr>
        <w:t xml:space="preserve"> </w:t>
      </w:r>
      <w:r w:rsidR="00BA4C13" w:rsidRPr="00BA4C13">
        <w:rPr>
          <w:rFonts w:ascii="Times New Roman" w:hAnsi="Times New Roman" w:cs="Times New Roman"/>
        </w:rPr>
        <w:t>The Jerzy Kukuczka Academy of Physical Education in Katowice</w:t>
      </w:r>
    </w:p>
    <w:p w14:paraId="05173216" w14:textId="7FA5DF3F" w:rsidR="0009010D" w:rsidRDefault="0009010D" w:rsidP="00B431B9">
      <w:pPr>
        <w:spacing w:line="360" w:lineRule="auto"/>
        <w:rPr>
          <w:rFonts w:ascii="Times New Roman" w:hAnsi="Times New Roman" w:cs="Times New Roman"/>
        </w:rPr>
      </w:pPr>
      <w:r w:rsidRPr="0009010D">
        <w:rPr>
          <w:rFonts w:ascii="Times New Roman" w:hAnsi="Times New Roman" w:cs="Times New Roman"/>
          <w:b/>
        </w:rPr>
        <w:t>Conflict of interest</w:t>
      </w:r>
      <w:r>
        <w:rPr>
          <w:rFonts w:ascii="Times New Roman" w:hAnsi="Times New Roman" w:cs="Times New Roman"/>
        </w:rPr>
        <w:br/>
        <w:t>No conflicts of interests to declare.</w:t>
      </w:r>
    </w:p>
    <w:p w14:paraId="146CF127" w14:textId="7871124A" w:rsidR="00772234" w:rsidRDefault="00772234" w:rsidP="003D43E3">
      <w:pPr>
        <w:spacing w:line="360" w:lineRule="auto"/>
        <w:jc w:val="both"/>
        <w:rPr>
          <w:rFonts w:ascii="Times New Roman" w:hAnsi="Times New Roman" w:cs="Times New Roman"/>
          <w:color w:val="000000"/>
          <w:sz w:val="24"/>
          <w:lang w:val="en-GB"/>
        </w:rPr>
      </w:pPr>
    </w:p>
    <w:p w14:paraId="24D78F54" w14:textId="7CA25976" w:rsidR="00C90AA1" w:rsidRDefault="00C90AA1" w:rsidP="003D43E3">
      <w:pPr>
        <w:spacing w:line="360" w:lineRule="auto"/>
        <w:jc w:val="both"/>
        <w:rPr>
          <w:rFonts w:ascii="Times New Roman" w:hAnsi="Times New Roman" w:cs="Times New Roman"/>
          <w:color w:val="000000"/>
          <w:sz w:val="24"/>
          <w:lang w:val="en-GB"/>
        </w:rPr>
      </w:pPr>
    </w:p>
    <w:p w14:paraId="7B4EFCCC" w14:textId="204524E8" w:rsidR="00C90AA1" w:rsidRDefault="00C90AA1" w:rsidP="003D43E3">
      <w:pPr>
        <w:spacing w:line="360" w:lineRule="auto"/>
        <w:jc w:val="both"/>
        <w:rPr>
          <w:rFonts w:ascii="Times New Roman" w:hAnsi="Times New Roman" w:cs="Times New Roman"/>
          <w:color w:val="000000"/>
          <w:sz w:val="24"/>
          <w:lang w:val="en-GB"/>
        </w:rPr>
      </w:pPr>
    </w:p>
    <w:p w14:paraId="17A5A96E" w14:textId="4961AFEF" w:rsidR="00C90AA1" w:rsidRDefault="00C90AA1" w:rsidP="003D43E3">
      <w:pPr>
        <w:spacing w:line="360" w:lineRule="auto"/>
        <w:jc w:val="both"/>
        <w:rPr>
          <w:rFonts w:ascii="Times New Roman" w:hAnsi="Times New Roman" w:cs="Times New Roman"/>
          <w:color w:val="000000"/>
          <w:sz w:val="24"/>
          <w:lang w:val="en-GB"/>
        </w:rPr>
      </w:pPr>
    </w:p>
    <w:p w14:paraId="43A74EE6" w14:textId="048A96B0" w:rsidR="00C90AA1" w:rsidRDefault="00C90AA1" w:rsidP="003D43E3">
      <w:pPr>
        <w:spacing w:line="360" w:lineRule="auto"/>
        <w:jc w:val="both"/>
        <w:rPr>
          <w:rFonts w:ascii="Times New Roman" w:hAnsi="Times New Roman" w:cs="Times New Roman"/>
          <w:color w:val="000000"/>
          <w:sz w:val="24"/>
          <w:lang w:val="en-GB"/>
        </w:rPr>
      </w:pPr>
    </w:p>
    <w:p w14:paraId="53C39C34" w14:textId="124C4E8F" w:rsidR="00C90AA1" w:rsidRDefault="00C90AA1" w:rsidP="003D43E3">
      <w:pPr>
        <w:spacing w:line="360" w:lineRule="auto"/>
        <w:jc w:val="both"/>
        <w:rPr>
          <w:rFonts w:ascii="Times New Roman" w:hAnsi="Times New Roman" w:cs="Times New Roman"/>
          <w:color w:val="000000"/>
          <w:sz w:val="24"/>
          <w:lang w:val="en-GB"/>
        </w:rPr>
      </w:pPr>
    </w:p>
    <w:p w14:paraId="146E8B5C" w14:textId="6FE4FFDE" w:rsidR="00C90AA1" w:rsidRDefault="00C90AA1" w:rsidP="003D43E3">
      <w:pPr>
        <w:spacing w:line="360" w:lineRule="auto"/>
        <w:jc w:val="both"/>
        <w:rPr>
          <w:rFonts w:ascii="Times New Roman" w:hAnsi="Times New Roman" w:cs="Times New Roman"/>
          <w:color w:val="000000"/>
          <w:sz w:val="24"/>
          <w:lang w:val="en-GB"/>
        </w:rPr>
      </w:pPr>
    </w:p>
    <w:p w14:paraId="1C103F4E" w14:textId="28676650" w:rsidR="00C90AA1" w:rsidRDefault="00C90AA1" w:rsidP="003D43E3">
      <w:pPr>
        <w:spacing w:line="360" w:lineRule="auto"/>
        <w:jc w:val="both"/>
        <w:rPr>
          <w:rFonts w:ascii="Times New Roman" w:hAnsi="Times New Roman" w:cs="Times New Roman"/>
          <w:color w:val="000000"/>
          <w:sz w:val="24"/>
          <w:lang w:val="en-GB"/>
        </w:rPr>
      </w:pPr>
    </w:p>
    <w:p w14:paraId="4995B950" w14:textId="77777777" w:rsidR="003D43E3" w:rsidRPr="00C90AA1" w:rsidRDefault="003D43E3" w:rsidP="003D43E3">
      <w:pPr>
        <w:spacing w:line="360" w:lineRule="auto"/>
        <w:jc w:val="both"/>
        <w:rPr>
          <w:rFonts w:ascii="Times New Roman" w:hAnsi="Times New Roman" w:cs="Times New Roman"/>
          <w:b/>
          <w:color w:val="000000"/>
          <w:sz w:val="24"/>
          <w:lang w:val="en-GB"/>
        </w:rPr>
      </w:pPr>
      <w:r w:rsidRPr="00C90AA1">
        <w:rPr>
          <w:rFonts w:ascii="Times New Roman" w:hAnsi="Times New Roman" w:cs="Times New Roman"/>
          <w:b/>
          <w:color w:val="000000"/>
          <w:sz w:val="24"/>
          <w:lang w:val="en-GB"/>
        </w:rPr>
        <w:lastRenderedPageBreak/>
        <w:t>ABSTRACT</w:t>
      </w:r>
    </w:p>
    <w:p w14:paraId="02772014" w14:textId="1C8810EB" w:rsidR="00A51EF7" w:rsidRDefault="00EA056D" w:rsidP="00EA056D">
      <w:pPr>
        <w:spacing w:line="360" w:lineRule="auto"/>
        <w:jc w:val="both"/>
        <w:rPr>
          <w:rFonts w:ascii="Times New Roman" w:hAnsi="Times New Roman" w:cs="Times New Roman"/>
          <w:sz w:val="24"/>
          <w:szCs w:val="24"/>
        </w:rPr>
      </w:pPr>
      <w:r w:rsidRPr="00EA056D">
        <w:rPr>
          <w:rFonts w:ascii="Times New Roman" w:hAnsi="Times New Roman" w:cs="Times New Roman"/>
          <w:b/>
          <w:sz w:val="24"/>
          <w:szCs w:val="24"/>
        </w:rPr>
        <w:t>Background and Study Aim:</w:t>
      </w:r>
      <w:r>
        <w:rPr>
          <w:rFonts w:ascii="Times New Roman" w:hAnsi="Times New Roman" w:cs="Times New Roman"/>
          <w:sz w:val="24"/>
          <w:szCs w:val="24"/>
        </w:rPr>
        <w:t xml:space="preserve"> </w:t>
      </w:r>
      <w:r w:rsidR="006B400C" w:rsidRPr="006B400C">
        <w:rPr>
          <w:rFonts w:ascii="Times New Roman" w:hAnsi="Times New Roman" w:cs="Times New Roman"/>
          <w:sz w:val="24"/>
          <w:szCs w:val="24"/>
        </w:rPr>
        <w:t>The 5th metatarsal fracture is a common foot fracture which could exclude a player from competition for several months and significantly affect his or her career. This manuscript presents the treatment and rehabilitation of professional soccer players who had acute fractures of the 5th metatarsal bone and a cannulated screw fixation. The main purpose of the analysis was to dete</w:t>
      </w:r>
      <w:r>
        <w:rPr>
          <w:rFonts w:ascii="Times New Roman" w:hAnsi="Times New Roman" w:cs="Times New Roman"/>
          <w:sz w:val="24"/>
          <w:szCs w:val="24"/>
        </w:rPr>
        <w:t>rmine the minimum time necessary</w:t>
      </w:r>
      <w:r w:rsidR="006B400C" w:rsidRPr="006B400C">
        <w:rPr>
          <w:rFonts w:ascii="Times New Roman" w:hAnsi="Times New Roman" w:cs="Times New Roman"/>
          <w:sz w:val="24"/>
          <w:szCs w:val="24"/>
        </w:rPr>
        <w:t xml:space="preserve"> for a permanent return to the sport after a 5th metatarsal fracture among professional soccer players. </w:t>
      </w:r>
    </w:p>
    <w:p w14:paraId="04F5A5C6" w14:textId="563AE6AB" w:rsidR="00A51EF7" w:rsidRDefault="00EA056D" w:rsidP="00EA056D">
      <w:pPr>
        <w:spacing w:line="360" w:lineRule="auto"/>
        <w:jc w:val="both"/>
        <w:rPr>
          <w:rFonts w:ascii="Times New Roman" w:hAnsi="Times New Roman" w:cs="Times New Roman"/>
          <w:sz w:val="24"/>
          <w:szCs w:val="24"/>
        </w:rPr>
      </w:pPr>
      <w:r w:rsidRPr="00EA056D">
        <w:rPr>
          <w:rFonts w:ascii="Times New Roman" w:hAnsi="Times New Roman" w:cs="Times New Roman"/>
          <w:b/>
          <w:sz w:val="24"/>
          <w:szCs w:val="24"/>
        </w:rPr>
        <w:t>Material and Methods:</w:t>
      </w:r>
      <w:r>
        <w:rPr>
          <w:rFonts w:ascii="Times New Roman" w:hAnsi="Times New Roman" w:cs="Times New Roman"/>
          <w:sz w:val="24"/>
          <w:szCs w:val="24"/>
        </w:rPr>
        <w:t xml:space="preserve"> </w:t>
      </w:r>
      <w:r w:rsidR="00EF0315">
        <w:rPr>
          <w:rFonts w:ascii="Times New Roman" w:hAnsi="Times New Roman" w:cs="Times New Roman"/>
          <w:sz w:val="24"/>
          <w:szCs w:val="24"/>
        </w:rPr>
        <w:t xml:space="preserve">Analysis of the </w:t>
      </w:r>
      <w:r w:rsidR="006B400C" w:rsidRPr="006B400C">
        <w:rPr>
          <w:rFonts w:ascii="Times New Roman" w:hAnsi="Times New Roman" w:cs="Times New Roman"/>
          <w:sz w:val="24"/>
          <w:szCs w:val="24"/>
        </w:rPr>
        <w:t xml:space="preserve">surgical and rehabilitation path of 21 professional soccer players from the Polish League (Ist and IInd divisions) who suffered from the 5th metatarsal bone fracture. All players underwent standard percutaneous internal fixation with the use of cannulated screws. </w:t>
      </w:r>
    </w:p>
    <w:p w14:paraId="6B204AE2" w14:textId="5D9E68DE" w:rsidR="00A51EF7" w:rsidRDefault="00EA056D" w:rsidP="00EA056D">
      <w:pPr>
        <w:spacing w:line="360" w:lineRule="auto"/>
        <w:jc w:val="both"/>
        <w:rPr>
          <w:rFonts w:ascii="Times New Roman" w:hAnsi="Times New Roman" w:cs="Times New Roman"/>
          <w:sz w:val="24"/>
          <w:szCs w:val="24"/>
        </w:rPr>
      </w:pPr>
      <w:r w:rsidRPr="00EA056D">
        <w:rPr>
          <w:rFonts w:ascii="Times New Roman" w:hAnsi="Times New Roman" w:cs="Times New Roman"/>
          <w:b/>
          <w:sz w:val="24"/>
          <w:szCs w:val="24"/>
        </w:rPr>
        <w:t>Result:</w:t>
      </w:r>
      <w:r>
        <w:rPr>
          <w:rFonts w:ascii="Times New Roman" w:hAnsi="Times New Roman" w:cs="Times New Roman"/>
          <w:sz w:val="24"/>
          <w:szCs w:val="24"/>
        </w:rPr>
        <w:t xml:space="preserve"> </w:t>
      </w:r>
      <w:r w:rsidRPr="00EA056D">
        <w:rPr>
          <w:rFonts w:ascii="Times New Roman" w:hAnsi="Times New Roman" w:cs="Times New Roman"/>
          <w:sz w:val="24"/>
          <w:szCs w:val="24"/>
        </w:rPr>
        <w:t>The data analysis revealed</w:t>
      </w:r>
      <w:r>
        <w:rPr>
          <w:rFonts w:ascii="Times New Roman" w:hAnsi="Times New Roman" w:cs="Times New Roman"/>
          <w:sz w:val="24"/>
          <w:szCs w:val="24"/>
        </w:rPr>
        <w:t xml:space="preserve"> to </w:t>
      </w:r>
      <w:r w:rsidR="006B400C" w:rsidRPr="006B400C">
        <w:rPr>
          <w:rFonts w:ascii="Times New Roman" w:hAnsi="Times New Roman" w:cs="Times New Roman"/>
          <w:sz w:val="24"/>
          <w:szCs w:val="24"/>
        </w:rPr>
        <w:t>total inability to play lasted for 9.2 (± 1.86) weeks among players treated only surgically (n = 10), 17.5 (± 2.5) weeks in the conservative and later surgery group, excluding players with nonunion (n = 6), and 24.5 (± 10.5) weeks for nonunion and sw</w:t>
      </w:r>
      <w:r w:rsidR="00A51EF7">
        <w:rPr>
          <w:rFonts w:ascii="Times New Roman" w:hAnsi="Times New Roman" w:cs="Times New Roman"/>
          <w:sz w:val="24"/>
          <w:szCs w:val="24"/>
        </w:rPr>
        <w:t>itch treatment (n = 4) players.</w:t>
      </w:r>
    </w:p>
    <w:p w14:paraId="1E4B9AFB" w14:textId="5AC8B341" w:rsidR="006B400C" w:rsidRPr="006B400C" w:rsidRDefault="00EA056D" w:rsidP="00EA056D">
      <w:pPr>
        <w:spacing w:line="360" w:lineRule="auto"/>
        <w:jc w:val="both"/>
        <w:rPr>
          <w:rFonts w:ascii="Times New Roman" w:hAnsi="Times New Roman" w:cs="Times New Roman"/>
          <w:sz w:val="24"/>
          <w:szCs w:val="24"/>
        </w:rPr>
      </w:pPr>
      <w:r w:rsidRPr="00EA056D">
        <w:rPr>
          <w:rFonts w:ascii="Times New Roman" w:hAnsi="Times New Roman" w:cs="Times New Roman"/>
          <w:b/>
          <w:sz w:val="24"/>
          <w:szCs w:val="24"/>
        </w:rPr>
        <w:t>Conclusions:</w:t>
      </w:r>
      <w:r>
        <w:rPr>
          <w:rFonts w:ascii="Times New Roman" w:hAnsi="Times New Roman" w:cs="Times New Roman"/>
          <w:sz w:val="24"/>
          <w:szCs w:val="24"/>
        </w:rPr>
        <w:t xml:space="preserve"> </w:t>
      </w:r>
      <w:r w:rsidR="006B400C" w:rsidRPr="006B400C">
        <w:rPr>
          <w:rFonts w:ascii="Times New Roman" w:hAnsi="Times New Roman" w:cs="Times New Roman"/>
          <w:sz w:val="24"/>
          <w:szCs w:val="24"/>
        </w:rPr>
        <w:t xml:space="preserve">Prompt fracture stabilization surgery is recommended for athletes, enabling the implementation of an aggressive rehabilitation protocol as soon as possible. Early limb loading after surgery (from week 2) does not delay fracture healing or hinder the bone union, thus rehabilitation plays a crucial role in shortening the time of RTP (return to play) and is obligatory for each athlete who undergoes surgical treatment. </w:t>
      </w:r>
    </w:p>
    <w:p w14:paraId="3A47C7BC" w14:textId="77777777" w:rsidR="003A0525" w:rsidRDefault="003A0525" w:rsidP="006B400C">
      <w:pPr>
        <w:spacing w:line="360" w:lineRule="auto"/>
        <w:jc w:val="both"/>
        <w:rPr>
          <w:rFonts w:ascii="Times New Roman" w:hAnsi="Times New Roman" w:cs="Times New Roman"/>
          <w:b/>
          <w:sz w:val="24"/>
          <w:szCs w:val="24"/>
        </w:rPr>
      </w:pPr>
    </w:p>
    <w:p w14:paraId="472B040C" w14:textId="77777777" w:rsidR="003A0525" w:rsidRDefault="003A0525" w:rsidP="006B400C">
      <w:pPr>
        <w:spacing w:line="360" w:lineRule="auto"/>
        <w:jc w:val="both"/>
        <w:rPr>
          <w:rFonts w:ascii="Times New Roman" w:hAnsi="Times New Roman" w:cs="Times New Roman"/>
          <w:b/>
          <w:sz w:val="24"/>
          <w:szCs w:val="24"/>
        </w:rPr>
      </w:pPr>
    </w:p>
    <w:p w14:paraId="3954F8C1" w14:textId="77777777" w:rsidR="003A0525" w:rsidRDefault="003A0525" w:rsidP="006B400C">
      <w:pPr>
        <w:spacing w:line="360" w:lineRule="auto"/>
        <w:jc w:val="both"/>
        <w:rPr>
          <w:rFonts w:ascii="Times New Roman" w:hAnsi="Times New Roman" w:cs="Times New Roman"/>
          <w:b/>
          <w:sz w:val="24"/>
          <w:szCs w:val="24"/>
        </w:rPr>
      </w:pPr>
    </w:p>
    <w:p w14:paraId="71E97CA4" w14:textId="77777777" w:rsidR="003A0525" w:rsidRDefault="003A0525" w:rsidP="006B400C">
      <w:pPr>
        <w:spacing w:line="360" w:lineRule="auto"/>
        <w:jc w:val="both"/>
        <w:rPr>
          <w:rFonts w:ascii="Times New Roman" w:hAnsi="Times New Roman" w:cs="Times New Roman"/>
          <w:b/>
          <w:sz w:val="24"/>
          <w:szCs w:val="24"/>
        </w:rPr>
      </w:pPr>
    </w:p>
    <w:p w14:paraId="5CF53645" w14:textId="77777777" w:rsidR="003A0525" w:rsidRDefault="003A0525" w:rsidP="006B400C">
      <w:pPr>
        <w:spacing w:line="360" w:lineRule="auto"/>
        <w:jc w:val="both"/>
        <w:rPr>
          <w:rFonts w:ascii="Times New Roman" w:hAnsi="Times New Roman" w:cs="Times New Roman"/>
          <w:b/>
          <w:sz w:val="24"/>
          <w:szCs w:val="24"/>
        </w:rPr>
      </w:pPr>
    </w:p>
    <w:p w14:paraId="33CB0453" w14:textId="77777777" w:rsidR="003A0525" w:rsidRDefault="003A0525" w:rsidP="006B400C">
      <w:pPr>
        <w:spacing w:line="360" w:lineRule="auto"/>
        <w:jc w:val="both"/>
        <w:rPr>
          <w:rFonts w:ascii="Times New Roman" w:hAnsi="Times New Roman" w:cs="Times New Roman"/>
          <w:b/>
          <w:sz w:val="24"/>
          <w:szCs w:val="24"/>
        </w:rPr>
      </w:pPr>
    </w:p>
    <w:p w14:paraId="3A900218" w14:textId="77777777" w:rsidR="003A0525" w:rsidRDefault="003A0525" w:rsidP="006B400C">
      <w:pPr>
        <w:spacing w:line="360" w:lineRule="auto"/>
        <w:jc w:val="both"/>
        <w:rPr>
          <w:rFonts w:ascii="Times New Roman" w:hAnsi="Times New Roman" w:cs="Times New Roman"/>
          <w:b/>
          <w:sz w:val="24"/>
          <w:szCs w:val="24"/>
        </w:rPr>
      </w:pPr>
    </w:p>
    <w:p w14:paraId="71DE328C" w14:textId="008B290E" w:rsidR="00C90AA1" w:rsidRPr="003A0525" w:rsidRDefault="006B400C" w:rsidP="00282695">
      <w:pPr>
        <w:spacing w:line="360" w:lineRule="auto"/>
        <w:jc w:val="both"/>
        <w:rPr>
          <w:rFonts w:ascii="Times New Roman" w:hAnsi="Times New Roman" w:cs="Times New Roman"/>
          <w:sz w:val="24"/>
          <w:szCs w:val="24"/>
          <w:lang w:val="en-US"/>
        </w:rPr>
      </w:pPr>
      <w:r w:rsidRPr="00A5225D">
        <w:rPr>
          <w:rFonts w:ascii="Times New Roman" w:hAnsi="Times New Roman" w:cs="Times New Roman"/>
          <w:b/>
          <w:sz w:val="24"/>
          <w:szCs w:val="24"/>
        </w:rPr>
        <w:t>Keywords:</w:t>
      </w:r>
      <w:r w:rsidRPr="006B400C">
        <w:rPr>
          <w:rFonts w:ascii="Times New Roman" w:hAnsi="Times New Roman" w:cs="Times New Roman"/>
          <w:sz w:val="24"/>
          <w:szCs w:val="24"/>
        </w:rPr>
        <w:t xml:space="preserve"> 5th metatarsal fracture, athletes, intramedullary screw fixation, su</w:t>
      </w:r>
      <w:r w:rsidR="003A0525">
        <w:rPr>
          <w:rFonts w:ascii="Times New Roman" w:hAnsi="Times New Roman" w:cs="Times New Roman"/>
          <w:sz w:val="24"/>
          <w:szCs w:val="24"/>
        </w:rPr>
        <w:t>rgical treatment, rehabilitatio</w:t>
      </w:r>
    </w:p>
    <w:p w14:paraId="1DB49150" w14:textId="15347B80" w:rsidR="00085708" w:rsidRPr="00A5225D" w:rsidRDefault="00025127" w:rsidP="00282695">
      <w:pPr>
        <w:spacing w:line="360" w:lineRule="auto"/>
        <w:jc w:val="both"/>
        <w:rPr>
          <w:rFonts w:ascii="Times New Roman" w:hAnsi="Times New Roman" w:cs="Times New Roman"/>
          <w:b/>
          <w:sz w:val="24"/>
          <w:szCs w:val="24"/>
          <w:lang w:val="en-US"/>
        </w:rPr>
      </w:pPr>
      <w:r w:rsidRPr="00C90AA1">
        <w:rPr>
          <w:rFonts w:ascii="Times New Roman" w:hAnsi="Times New Roman" w:cs="Times New Roman"/>
          <w:b/>
          <w:sz w:val="24"/>
          <w:lang w:val="en-US"/>
        </w:rPr>
        <w:lastRenderedPageBreak/>
        <w:t>INTRODUCTION</w:t>
      </w:r>
    </w:p>
    <w:p w14:paraId="18FAF38E" w14:textId="442F961D" w:rsidR="00A5225D" w:rsidRDefault="00A5225D" w:rsidP="00A5225D">
      <w:pPr>
        <w:spacing w:line="360" w:lineRule="auto"/>
        <w:ind w:firstLine="708"/>
        <w:jc w:val="both"/>
        <w:rPr>
          <w:rFonts w:ascii="Times New Roman" w:hAnsi="Times New Roman" w:cs="Times New Roman"/>
          <w:sz w:val="24"/>
          <w:szCs w:val="24"/>
        </w:rPr>
      </w:pPr>
      <w:r w:rsidRPr="00A5225D">
        <w:rPr>
          <w:rFonts w:ascii="Times New Roman" w:hAnsi="Times New Roman" w:cs="Times New Roman"/>
          <w:sz w:val="24"/>
          <w:szCs w:val="24"/>
        </w:rPr>
        <w:t>A fracture of the 5th metatarsal bone is a specific problem of people who are permanently exposed to foot overload, including athletes. Fractures most often affect the base of the 5th metatarsal and make for 40 to 75% of all foot fractures (Wang et al., 2020). The challenge often is the diagnosis itself, and most notably determining the correct type of the fracture. The literature concentrates on a few particular divisions of 5th metatarsal fractures, the most popular of which seems to be the one</w:t>
      </w:r>
      <w:r>
        <w:rPr>
          <w:rFonts w:ascii="Times New Roman" w:hAnsi="Times New Roman" w:cs="Times New Roman"/>
          <w:sz w:val="24"/>
          <w:szCs w:val="24"/>
        </w:rPr>
        <w:t xml:space="preserve"> proposed by Lawrence and Botte </w:t>
      </w:r>
      <w:r w:rsidRPr="00A5225D">
        <w:rPr>
          <w:rFonts w:ascii="Times New Roman" w:hAnsi="Times New Roman" w:cs="Times New Roman"/>
          <w:sz w:val="24"/>
          <w:szCs w:val="24"/>
        </w:rPr>
        <w:t>(1993). They differentiate between three types of fractures in the proximal part of the 5th metatarsal bone: the tuberosity avulsion fracture, the Jones' fracture and the proximal diaphyseal stress fracture.</w:t>
      </w:r>
    </w:p>
    <w:p w14:paraId="20A8B2A1" w14:textId="40FF30AB" w:rsidR="00A5225D" w:rsidRDefault="00A5225D" w:rsidP="00A5225D">
      <w:pPr>
        <w:spacing w:line="360" w:lineRule="auto"/>
        <w:ind w:firstLine="708"/>
        <w:jc w:val="both"/>
        <w:rPr>
          <w:rFonts w:ascii="Times New Roman" w:hAnsi="Times New Roman" w:cs="Times New Roman"/>
          <w:sz w:val="24"/>
          <w:szCs w:val="24"/>
        </w:rPr>
      </w:pPr>
      <w:r w:rsidRPr="00A5225D">
        <w:rPr>
          <w:rFonts w:ascii="Times New Roman" w:hAnsi="Times New Roman" w:cs="Times New Roman"/>
          <w:sz w:val="24"/>
          <w:szCs w:val="24"/>
        </w:rPr>
        <w:t xml:space="preserve"> An avulsion fracture is an injury which occurs as a result of a rapid pull (usually the consequence of a sudden stop), a fracture emerging near the epiphysis of the bone along with a bone fragment detachment (Bowes and Buckley, 2016). </w:t>
      </w:r>
    </w:p>
    <w:p w14:paraId="6E744ADF" w14:textId="77777777" w:rsidR="00A5225D" w:rsidRPr="00A51EF7" w:rsidRDefault="00A5225D" w:rsidP="00A51EF7">
      <w:pPr>
        <w:spacing w:line="360" w:lineRule="auto"/>
        <w:ind w:firstLine="708"/>
        <w:jc w:val="both"/>
        <w:rPr>
          <w:rFonts w:ascii="Times New Roman" w:hAnsi="Times New Roman" w:cs="Times New Roman"/>
          <w:sz w:val="24"/>
          <w:szCs w:val="24"/>
        </w:rPr>
      </w:pPr>
      <w:r w:rsidRPr="00A5225D">
        <w:rPr>
          <w:rFonts w:ascii="Times New Roman" w:hAnsi="Times New Roman" w:cs="Times New Roman"/>
          <w:sz w:val="24"/>
          <w:szCs w:val="24"/>
        </w:rPr>
        <w:t xml:space="preserve">Stress fractures are the fallout of the accumulation of overloads which are not able to cause injury independently, but their multiplication leads to weakening of the bone tissue and in consequence, to its fracture. Stress fractures mainly affect the shaft of the bone (Mayer et al., 2014). </w:t>
      </w:r>
    </w:p>
    <w:p w14:paraId="276E0F1F" w14:textId="77777777" w:rsidR="00A5225D" w:rsidRPr="00A51EF7" w:rsidRDefault="00A5225D" w:rsidP="00A51EF7">
      <w:pPr>
        <w:spacing w:line="360" w:lineRule="auto"/>
        <w:ind w:firstLine="708"/>
        <w:jc w:val="both"/>
        <w:rPr>
          <w:rFonts w:ascii="Times New Roman" w:hAnsi="Times New Roman" w:cs="Times New Roman"/>
          <w:sz w:val="24"/>
          <w:szCs w:val="24"/>
        </w:rPr>
      </w:pPr>
      <w:r w:rsidRPr="00A51EF7">
        <w:rPr>
          <w:rFonts w:ascii="Times New Roman" w:hAnsi="Times New Roman" w:cs="Times New Roman"/>
          <w:sz w:val="24"/>
          <w:szCs w:val="24"/>
        </w:rPr>
        <w:t xml:space="preserve">Some discrepancies may be found due to diverging definitions of Jones fractures among different authors (Baumbach et al., 2017). Basically, this type of the fracture relates to an injury approximately 1.5 cm from bone tuberosity. In this zone both acute and stress fractures occur. The main reason of increased probability for a stress fracture in this area is its very limited blood supply. This could be the reason for reduced regenerative capacity of the bone tissue in this particular spot, which makes it difficult for micro-injuries to regenerate. Restricted internal hip rotation, evidence of varus hindfoot alignment and field surface are subsequent factors which increase the risk of this fracture (Miyamori et al., 2019; Raikin et al., 2008; Saita et al., 2018). A low level of agility and motor control also play the key role in injury occurrence (Borghuis et al., 2008). </w:t>
      </w:r>
    </w:p>
    <w:p w14:paraId="6F24B3BD" w14:textId="77777777" w:rsidR="00A5225D" w:rsidRPr="00A51EF7" w:rsidRDefault="00A5225D" w:rsidP="00A51EF7">
      <w:pPr>
        <w:spacing w:line="360" w:lineRule="auto"/>
        <w:ind w:firstLine="708"/>
        <w:jc w:val="both"/>
        <w:rPr>
          <w:rFonts w:ascii="Times New Roman" w:hAnsi="Times New Roman" w:cs="Times New Roman"/>
          <w:sz w:val="24"/>
          <w:szCs w:val="24"/>
        </w:rPr>
      </w:pPr>
      <w:r w:rsidRPr="00A51EF7">
        <w:rPr>
          <w:rFonts w:ascii="Times New Roman" w:hAnsi="Times New Roman" w:cs="Times New Roman"/>
          <w:sz w:val="24"/>
          <w:szCs w:val="24"/>
        </w:rPr>
        <w:t xml:space="preserve">Soccer, due to its requirements of covering up to 12 000 m in a game, frequent changes of direction and a multitude of various incidents (including fouls), seems to significantly increase the risk of foot injuries, including fractures among players (Boraczyński et al., 2020). The player's position on the field has to be considered in this regard (Thomson et al., 2018). </w:t>
      </w:r>
    </w:p>
    <w:p w14:paraId="013528FD" w14:textId="77777777" w:rsidR="00A5225D" w:rsidRDefault="00A5225D" w:rsidP="00A5225D">
      <w:pPr>
        <w:spacing w:line="360" w:lineRule="auto"/>
        <w:ind w:firstLine="708"/>
        <w:jc w:val="both"/>
        <w:rPr>
          <w:rFonts w:ascii="Times New Roman" w:hAnsi="Times New Roman" w:cs="Times New Roman"/>
          <w:sz w:val="24"/>
          <w:szCs w:val="24"/>
        </w:rPr>
      </w:pPr>
      <w:r w:rsidRPr="00A5225D">
        <w:rPr>
          <w:rFonts w:ascii="Times New Roman" w:hAnsi="Times New Roman" w:cs="Times New Roman"/>
          <w:sz w:val="24"/>
          <w:szCs w:val="24"/>
        </w:rPr>
        <w:lastRenderedPageBreak/>
        <w:t xml:space="preserve">X-ray imaging is usually sufficient in the diagnosis of acute fractures. Problems can be caused by an incorrect diagnosis in the early stages of stress fractures, as they may not be clearly visible in X-ray imaging. MRI or skeletal scintigraphy are recommended in cases of lateral foot tenderness that worsen during exercise, which is one stress fracture symptom. Ultrasound examination is a cheaper and equally useful method of diagnosing stress fractures of the 5th metatarsal bone. They can be all used both in the diagnostic process and monitoring of bone union (Battaglia et al., 2013). </w:t>
      </w:r>
    </w:p>
    <w:p w14:paraId="0944D650" w14:textId="77777777" w:rsidR="00A5225D" w:rsidRDefault="00A5225D" w:rsidP="00A5225D">
      <w:pPr>
        <w:spacing w:line="360" w:lineRule="auto"/>
        <w:ind w:firstLine="708"/>
        <w:jc w:val="both"/>
        <w:rPr>
          <w:rFonts w:ascii="Times New Roman" w:hAnsi="Times New Roman" w:cs="Times New Roman"/>
          <w:sz w:val="24"/>
          <w:szCs w:val="24"/>
        </w:rPr>
      </w:pPr>
      <w:r w:rsidRPr="00A5225D">
        <w:rPr>
          <w:rFonts w:ascii="Times New Roman" w:hAnsi="Times New Roman" w:cs="Times New Roman"/>
          <w:sz w:val="24"/>
          <w:szCs w:val="24"/>
        </w:rPr>
        <w:t xml:space="preserve">The therapy depends on the type of injury and the physical activity of the patient. Minor fractures without bone dislocation are treated conservatively through temporary immobilization of the limb (6 to 10 weeks). A surgical intervention is recommended for more serious injuries, delayed union and non-union injuries (Miller et al., 2019; Pecina et al., 2011). </w:t>
      </w:r>
    </w:p>
    <w:p w14:paraId="624E9E44" w14:textId="77777777" w:rsidR="00A5225D" w:rsidRDefault="00A5225D" w:rsidP="00A5225D">
      <w:pPr>
        <w:spacing w:line="360" w:lineRule="auto"/>
        <w:ind w:firstLine="708"/>
        <w:jc w:val="both"/>
        <w:rPr>
          <w:rFonts w:ascii="Times New Roman" w:hAnsi="Times New Roman" w:cs="Times New Roman"/>
          <w:sz w:val="24"/>
          <w:szCs w:val="24"/>
        </w:rPr>
      </w:pPr>
      <w:r w:rsidRPr="00A5225D">
        <w:rPr>
          <w:rFonts w:ascii="Times New Roman" w:hAnsi="Times New Roman" w:cs="Times New Roman"/>
          <w:sz w:val="24"/>
          <w:szCs w:val="24"/>
        </w:rPr>
        <w:t xml:space="preserve">In sports medicine, the preferred treatment method of almost all fractures of the 5th metatarsal bone is a surgical anastomosis, which results in a lower no-growth rate, shorter healing time, faster recovery and better clinical outcomes compared to conservative treatment (Bernstein et al., 2018). </w:t>
      </w:r>
    </w:p>
    <w:p w14:paraId="17578FCD" w14:textId="10999ECE" w:rsidR="00A5225D" w:rsidRPr="00A5225D" w:rsidRDefault="00A5225D" w:rsidP="00A5225D">
      <w:pPr>
        <w:spacing w:line="360" w:lineRule="auto"/>
        <w:ind w:firstLine="708"/>
        <w:jc w:val="both"/>
        <w:rPr>
          <w:rFonts w:ascii="Times New Roman" w:hAnsi="Times New Roman" w:cs="Times New Roman"/>
          <w:b/>
          <w:sz w:val="24"/>
          <w:szCs w:val="24"/>
          <w:lang w:val="en-US"/>
        </w:rPr>
      </w:pPr>
      <w:r w:rsidRPr="00A5225D">
        <w:rPr>
          <w:rFonts w:ascii="Times New Roman" w:hAnsi="Times New Roman" w:cs="Times New Roman"/>
          <w:sz w:val="24"/>
          <w:szCs w:val="24"/>
        </w:rPr>
        <w:t>The main purpose of the study was to determine the minimum amount of time necessary for a permanent return to the sport after a 5th metatarsal fracture among professional soccer players.</w:t>
      </w:r>
    </w:p>
    <w:p w14:paraId="41E62A1D" w14:textId="1C30CDE5" w:rsidR="00C90AA1" w:rsidRDefault="00025127" w:rsidP="00C90AA1">
      <w:pPr>
        <w:spacing w:line="360" w:lineRule="auto"/>
        <w:ind w:firstLine="708"/>
        <w:jc w:val="both"/>
        <w:rPr>
          <w:rFonts w:ascii="Times New Roman" w:hAnsi="Times New Roman" w:cs="Times New Roman"/>
          <w:b/>
          <w:sz w:val="24"/>
          <w:lang w:val="en-US"/>
        </w:rPr>
      </w:pPr>
      <w:r w:rsidRPr="00C90AA1">
        <w:rPr>
          <w:rFonts w:ascii="Times New Roman" w:hAnsi="Times New Roman" w:cs="Times New Roman"/>
          <w:b/>
          <w:sz w:val="24"/>
          <w:lang w:val="en-US"/>
        </w:rPr>
        <w:t>METHODS</w:t>
      </w:r>
    </w:p>
    <w:p w14:paraId="5BA6283A" w14:textId="1F8D2E86" w:rsidR="00C90AA1" w:rsidRDefault="00C90AA1" w:rsidP="00C90AA1">
      <w:pPr>
        <w:spacing w:line="360" w:lineRule="auto"/>
        <w:jc w:val="both"/>
        <w:rPr>
          <w:rFonts w:ascii="Times New Roman" w:hAnsi="Times New Roman" w:cs="Times New Roman"/>
          <w:sz w:val="24"/>
          <w:lang w:val="en-US"/>
        </w:rPr>
      </w:pPr>
      <w:r w:rsidRPr="00C90AA1">
        <w:rPr>
          <w:rFonts w:ascii="Times New Roman" w:hAnsi="Times New Roman" w:cs="Times New Roman"/>
          <w:b/>
          <w:i/>
          <w:sz w:val="24"/>
          <w:lang w:val="en-US"/>
        </w:rPr>
        <w:t>Participants</w:t>
      </w:r>
    </w:p>
    <w:p w14:paraId="74F2F5A1" w14:textId="69476A13" w:rsidR="008146A3" w:rsidRDefault="007B005C" w:rsidP="008146A3">
      <w:pPr>
        <w:spacing w:line="360" w:lineRule="auto"/>
        <w:ind w:firstLine="708"/>
        <w:jc w:val="both"/>
        <w:rPr>
          <w:rFonts w:ascii="Times New Roman" w:hAnsi="Times New Roman" w:cs="Times New Roman"/>
          <w:sz w:val="24"/>
          <w:lang w:val="en-US"/>
        </w:rPr>
      </w:pPr>
      <w:r w:rsidRPr="007B005C">
        <w:rPr>
          <w:rFonts w:ascii="Times New Roman" w:hAnsi="Times New Roman" w:cs="Times New Roman"/>
          <w:sz w:val="24"/>
          <w:lang w:val="en-US"/>
        </w:rPr>
        <w:t>A retrospective review of a database of professional soccer players from the Polish league who underwent surgical fixation of 5 metatarsal fractures between January 2014 and June 2019 in one orthopedic center was perfo</w:t>
      </w:r>
      <w:r w:rsidR="00513D8B">
        <w:rPr>
          <w:rFonts w:ascii="Times New Roman" w:hAnsi="Times New Roman" w:cs="Times New Roman"/>
          <w:sz w:val="24"/>
          <w:lang w:val="en-US"/>
        </w:rPr>
        <w:t>rmed. A person</w:t>
      </w:r>
      <w:r w:rsidRPr="007B005C">
        <w:rPr>
          <w:rFonts w:ascii="Times New Roman" w:hAnsi="Times New Roman" w:cs="Times New Roman"/>
          <w:sz w:val="24"/>
          <w:lang w:val="en-US"/>
        </w:rPr>
        <w:t xml:space="preserve"> having at least 4 trainings a week for at least 3 years and who has played in Polish football league matches is considered as professional player. Age, sex, affected side, body mass index (BMI), and injury mechanisms were collected from the hospital's electronic database.</w:t>
      </w:r>
      <w:r w:rsidR="002C383A" w:rsidRPr="002C383A">
        <w:rPr>
          <w:rFonts w:ascii="Times New Roman" w:hAnsi="Times New Roman" w:cs="Times New Roman"/>
          <w:sz w:val="24"/>
          <w:lang w:val="en-US"/>
        </w:rPr>
        <w:t xml:space="preserve"> </w:t>
      </w:r>
      <w:r w:rsidR="002C383A" w:rsidRPr="002709A3">
        <w:rPr>
          <w:rFonts w:ascii="Times New Roman" w:hAnsi="Times New Roman" w:cs="Times New Roman"/>
          <w:sz w:val="24"/>
          <w:lang w:val="en-US"/>
        </w:rPr>
        <w:t xml:space="preserve">Twenty-one soccer players who </w:t>
      </w:r>
      <w:bookmarkStart w:id="0" w:name="_GoBack"/>
      <w:r w:rsidR="002C383A" w:rsidRPr="002709A3">
        <w:rPr>
          <w:rFonts w:ascii="Times New Roman" w:hAnsi="Times New Roman" w:cs="Times New Roman"/>
          <w:sz w:val="24"/>
          <w:lang w:val="en-US"/>
        </w:rPr>
        <w:t>underwent surgical anastomosis of th</w:t>
      </w:r>
      <w:r w:rsidR="002C383A">
        <w:rPr>
          <w:rFonts w:ascii="Times New Roman" w:hAnsi="Times New Roman" w:cs="Times New Roman"/>
          <w:sz w:val="24"/>
          <w:lang w:val="en-US"/>
        </w:rPr>
        <w:t>e 5th metatarsal with a cannulated</w:t>
      </w:r>
      <w:r w:rsidR="002C383A" w:rsidRPr="002709A3">
        <w:rPr>
          <w:rFonts w:ascii="Times New Roman" w:hAnsi="Times New Roman" w:cs="Times New Roman"/>
          <w:sz w:val="24"/>
          <w:lang w:val="en-US"/>
        </w:rPr>
        <w:t xml:space="preserve"> screw were included in the evaluation (Fig. 1).</w:t>
      </w:r>
      <w:r w:rsidR="002C383A" w:rsidRPr="009C5CBE">
        <w:rPr>
          <w:lang w:val="en-US"/>
        </w:rPr>
        <w:t xml:space="preserve"> </w:t>
      </w:r>
      <w:r w:rsidR="002C383A" w:rsidRPr="009C5CBE">
        <w:rPr>
          <w:rFonts w:ascii="Times New Roman" w:hAnsi="Times New Roman" w:cs="Times New Roman"/>
          <w:sz w:val="24"/>
          <w:lang w:val="en-US"/>
        </w:rPr>
        <w:t>The characteristics of all participants’</w:t>
      </w:r>
      <w:r w:rsidR="002C383A">
        <w:rPr>
          <w:rFonts w:ascii="Times New Roman" w:hAnsi="Times New Roman" w:cs="Times New Roman"/>
          <w:sz w:val="24"/>
          <w:lang w:val="en-US"/>
        </w:rPr>
        <w:t xml:space="preserve"> </w:t>
      </w:r>
      <w:r w:rsidR="00513D8B">
        <w:rPr>
          <w:rFonts w:ascii="Times New Roman" w:hAnsi="Times New Roman" w:cs="Times New Roman"/>
          <w:sz w:val="24"/>
          <w:lang w:val="en-US"/>
        </w:rPr>
        <w:t>are presented in Table 1</w:t>
      </w:r>
      <w:r w:rsidR="002C383A" w:rsidRPr="009C5CBE">
        <w:rPr>
          <w:rFonts w:ascii="Times New Roman" w:hAnsi="Times New Roman" w:cs="Times New Roman"/>
          <w:sz w:val="24"/>
          <w:lang w:val="en-US"/>
        </w:rPr>
        <w:t>.</w:t>
      </w:r>
      <w:r w:rsidR="002C383A" w:rsidRPr="002709A3">
        <w:rPr>
          <w:rFonts w:ascii="Times New Roman" w:hAnsi="Times New Roman" w:cs="Times New Roman"/>
          <w:sz w:val="24"/>
          <w:lang w:val="en-US"/>
        </w:rPr>
        <w:t xml:space="preserve"> </w:t>
      </w:r>
      <w:r w:rsidR="002C383A">
        <w:rPr>
          <w:rFonts w:ascii="Times New Roman" w:hAnsi="Times New Roman" w:cs="Times New Roman"/>
          <w:sz w:val="24"/>
          <w:lang w:val="en-US"/>
        </w:rPr>
        <w:t xml:space="preserve">The </w:t>
      </w:r>
      <w:bookmarkEnd w:id="0"/>
      <w:r w:rsidR="002C383A">
        <w:rPr>
          <w:rFonts w:ascii="Times New Roman" w:hAnsi="Times New Roman" w:cs="Times New Roman"/>
          <w:sz w:val="24"/>
          <w:lang w:val="en-US"/>
        </w:rPr>
        <w:t>average age of</w:t>
      </w:r>
      <w:r w:rsidR="002C383A" w:rsidRPr="002709A3">
        <w:rPr>
          <w:rFonts w:ascii="Times New Roman" w:hAnsi="Times New Roman" w:cs="Times New Roman"/>
          <w:sz w:val="24"/>
          <w:lang w:val="en-US"/>
        </w:rPr>
        <w:t xml:space="preserve"> players was 23 (±</w:t>
      </w:r>
      <w:r w:rsidR="00D12659">
        <w:rPr>
          <w:rFonts w:ascii="Times New Roman" w:hAnsi="Times New Roman" w:cs="Times New Roman"/>
          <w:sz w:val="24"/>
          <w:lang w:val="en-US"/>
        </w:rPr>
        <w:t xml:space="preserve"> 4) years, BMI was 23 (± 1.2). </w:t>
      </w:r>
      <w:r w:rsidRPr="007B005C">
        <w:rPr>
          <w:rFonts w:ascii="Times New Roman" w:hAnsi="Times New Roman" w:cs="Times New Roman"/>
          <w:sz w:val="24"/>
          <w:lang w:val="en-US"/>
        </w:rPr>
        <w:t>All patients underwent standard percutaneous internal fixation with use of cannulated screw. Return to play (RTP) was determined on the base of medical records and defined as a return to full training loadings.</w:t>
      </w:r>
    </w:p>
    <w:p w14:paraId="73BD41A0" w14:textId="7101E02C" w:rsidR="008146A3" w:rsidRPr="008146A3" w:rsidRDefault="008146A3" w:rsidP="008146A3">
      <w:pPr>
        <w:spacing w:line="360" w:lineRule="auto"/>
        <w:jc w:val="both"/>
        <w:rPr>
          <w:rFonts w:ascii="Times New Roman" w:hAnsi="Times New Roman" w:cs="Times New Roman"/>
          <w:b/>
          <w:i/>
          <w:sz w:val="24"/>
          <w:lang w:val="en-US"/>
        </w:rPr>
      </w:pPr>
      <w:r w:rsidRPr="008146A3">
        <w:rPr>
          <w:rFonts w:ascii="Times New Roman" w:hAnsi="Times New Roman" w:cs="Times New Roman"/>
          <w:b/>
          <w:i/>
          <w:sz w:val="24"/>
          <w:lang w:val="en-US"/>
        </w:rPr>
        <w:lastRenderedPageBreak/>
        <w:t>Design and Procedures</w:t>
      </w:r>
    </w:p>
    <w:p w14:paraId="0DA7B657" w14:textId="760ACCEB" w:rsidR="00513D8B" w:rsidRPr="007B005C" w:rsidRDefault="00513D8B" w:rsidP="007B005C">
      <w:pPr>
        <w:spacing w:line="360" w:lineRule="auto"/>
        <w:ind w:firstLine="708"/>
        <w:jc w:val="both"/>
        <w:rPr>
          <w:rFonts w:ascii="Times New Roman" w:hAnsi="Times New Roman" w:cs="Times New Roman"/>
          <w:sz w:val="24"/>
          <w:lang w:val="en-US"/>
        </w:rPr>
      </w:pPr>
      <w:r w:rsidRPr="007B005C">
        <w:rPr>
          <w:rFonts w:ascii="Times New Roman" w:hAnsi="Times New Roman" w:cs="Times New Roman"/>
          <w:sz w:val="24"/>
          <w:lang w:val="en-US"/>
        </w:rPr>
        <w:t xml:space="preserve">Standard percutaneous internal fixation with cannulated screw by spinal anesthesia was performed on all patients included in the study. The metatarsal base was approached through a dorsolateral incision followed by rhomboidal dissection. The section between the short and long fibular tendons was used to arrive at the bone area. A fixation was preceded by the Kirschner wire insertion into proximal tuberosity. A cannulated screw was fixated as soon as satisfying positioning was achieved. The final objective was to rigid fracture fixation with compression of the tops. The postoperative </w:t>
      </w:r>
      <w:r>
        <w:rPr>
          <w:rFonts w:ascii="Times New Roman" w:hAnsi="Times New Roman" w:cs="Times New Roman"/>
          <w:sz w:val="24"/>
          <w:lang w:val="en-US"/>
        </w:rPr>
        <w:t>protocol is presented in Table 2</w:t>
      </w:r>
      <w:r w:rsidRPr="007B005C">
        <w:rPr>
          <w:rFonts w:ascii="Times New Roman" w:hAnsi="Times New Roman" w:cs="Times New Roman"/>
          <w:sz w:val="24"/>
          <w:lang w:val="en-US"/>
        </w:rPr>
        <w:t xml:space="preserve"> and was a similar for all patients.</w:t>
      </w:r>
    </w:p>
    <w:p w14:paraId="5D4D4EB0" w14:textId="405A3CCC" w:rsidR="007B005C" w:rsidRPr="008146A3" w:rsidRDefault="007B005C" w:rsidP="006B400C">
      <w:pPr>
        <w:spacing w:line="360" w:lineRule="auto"/>
        <w:jc w:val="both"/>
        <w:rPr>
          <w:rFonts w:ascii="Times New Roman" w:hAnsi="Times New Roman" w:cs="Times New Roman"/>
          <w:b/>
          <w:i/>
          <w:sz w:val="24"/>
          <w:lang w:val="en-US"/>
        </w:rPr>
      </w:pPr>
      <w:r w:rsidRPr="008146A3">
        <w:rPr>
          <w:rFonts w:ascii="Times New Roman" w:hAnsi="Times New Roman" w:cs="Times New Roman"/>
          <w:b/>
          <w:i/>
          <w:sz w:val="24"/>
          <w:lang w:val="en-US"/>
        </w:rPr>
        <w:t>In</w:t>
      </w:r>
      <w:r w:rsidR="00D12659" w:rsidRPr="008146A3">
        <w:rPr>
          <w:rFonts w:ascii="Times New Roman" w:hAnsi="Times New Roman" w:cs="Times New Roman"/>
          <w:b/>
          <w:i/>
          <w:sz w:val="24"/>
          <w:lang w:val="en-US"/>
        </w:rPr>
        <w:t>clusion and exclusion criteria</w:t>
      </w:r>
    </w:p>
    <w:p w14:paraId="79D08DFA" w14:textId="27C339A5" w:rsidR="007B005C" w:rsidRDefault="007B005C" w:rsidP="007B005C">
      <w:pPr>
        <w:spacing w:line="360" w:lineRule="auto"/>
        <w:ind w:firstLine="708"/>
        <w:jc w:val="both"/>
        <w:rPr>
          <w:rFonts w:ascii="Times New Roman" w:hAnsi="Times New Roman" w:cs="Times New Roman"/>
          <w:sz w:val="24"/>
          <w:lang w:val="en-US"/>
        </w:rPr>
      </w:pPr>
      <w:r w:rsidRPr="007B005C">
        <w:rPr>
          <w:rFonts w:ascii="Times New Roman" w:hAnsi="Times New Roman" w:cs="Times New Roman"/>
          <w:sz w:val="24"/>
          <w:lang w:val="en-US"/>
        </w:rPr>
        <w:t>Inclusion criteria: professional Polish soccer players; age 16 to 35 years old; acute, isolated and closed fracture of 5 metatarsal bones with a cannula</w:t>
      </w:r>
      <w:r w:rsidR="00513D8B">
        <w:rPr>
          <w:rFonts w:ascii="Times New Roman" w:hAnsi="Times New Roman" w:cs="Times New Roman"/>
          <w:sz w:val="24"/>
          <w:lang w:val="en-US"/>
        </w:rPr>
        <w:t>ted screw fixation,</w:t>
      </w:r>
      <w:r w:rsidRPr="007B005C">
        <w:rPr>
          <w:rFonts w:ascii="Times New Roman" w:hAnsi="Times New Roman" w:cs="Times New Roman"/>
          <w:sz w:val="24"/>
          <w:lang w:val="en-US"/>
        </w:rPr>
        <w:t xml:space="preserve"> follow-up over 12 months. The exclusion criteria were: age under 16 years;</w:t>
      </w:r>
      <w:r w:rsidR="00513D8B">
        <w:rPr>
          <w:rFonts w:ascii="Times New Roman" w:hAnsi="Times New Roman" w:cs="Times New Roman"/>
          <w:sz w:val="24"/>
          <w:lang w:val="en-US"/>
        </w:rPr>
        <w:t xml:space="preserve"> follow-up less than 12 months</w:t>
      </w:r>
      <w:r w:rsidRPr="007B005C">
        <w:rPr>
          <w:rFonts w:ascii="Times New Roman" w:hAnsi="Times New Roman" w:cs="Times New Roman"/>
          <w:sz w:val="24"/>
          <w:lang w:val="en-US"/>
        </w:rPr>
        <w:t>; open or inveterate fractures; multiple fractures; incomplete chart or radiographic records.</w:t>
      </w:r>
    </w:p>
    <w:p w14:paraId="469F7882" w14:textId="14876864" w:rsidR="008146A3" w:rsidRDefault="00E254C8" w:rsidP="008146A3">
      <w:pPr>
        <w:spacing w:line="360" w:lineRule="auto"/>
        <w:ind w:firstLine="708"/>
        <w:jc w:val="both"/>
        <w:rPr>
          <w:rFonts w:ascii="Times New Roman" w:hAnsi="Times New Roman" w:cs="Times New Roman"/>
          <w:sz w:val="24"/>
          <w:lang w:val="en-US"/>
        </w:rPr>
      </w:pPr>
      <w:r>
        <w:rPr>
          <w:rFonts w:ascii="Times New Roman" w:hAnsi="Times New Roman" w:cs="Times New Roman"/>
          <w:sz w:val="24"/>
          <w:lang w:val="en-US"/>
        </w:rPr>
        <w:t>The players were</w:t>
      </w:r>
      <w:r w:rsidRPr="00B97F17">
        <w:rPr>
          <w:rFonts w:ascii="Times New Roman" w:hAnsi="Times New Roman" w:cs="Times New Roman"/>
          <w:sz w:val="24"/>
          <w:lang w:val="en-US"/>
        </w:rPr>
        <w:t xml:space="preserve"> divided into two groups: group A - only surgical treatment players (n=11), group B - players </w:t>
      </w:r>
      <w:r>
        <w:rPr>
          <w:rFonts w:ascii="Times New Roman" w:hAnsi="Times New Roman" w:cs="Times New Roman"/>
          <w:sz w:val="24"/>
          <w:lang w:val="en-US"/>
        </w:rPr>
        <w:t xml:space="preserve">who underwent </w:t>
      </w:r>
      <w:r w:rsidRPr="00B97F17">
        <w:rPr>
          <w:rFonts w:ascii="Times New Roman" w:hAnsi="Times New Roman" w:cs="Times New Roman"/>
          <w:sz w:val="24"/>
          <w:lang w:val="en-US"/>
        </w:rPr>
        <w:t>conservative treatment</w:t>
      </w:r>
      <w:r>
        <w:rPr>
          <w:rFonts w:ascii="Times New Roman" w:hAnsi="Times New Roman" w:cs="Times New Roman"/>
          <w:sz w:val="24"/>
          <w:lang w:val="en-US"/>
        </w:rPr>
        <w:t xml:space="preserve"> first,</w:t>
      </w:r>
      <w:r w:rsidRPr="00B97F17">
        <w:rPr>
          <w:rFonts w:ascii="Times New Roman" w:hAnsi="Times New Roman" w:cs="Times New Roman"/>
          <w:sz w:val="24"/>
          <w:lang w:val="en-US"/>
        </w:rPr>
        <w:t xml:space="preserve"> and </w:t>
      </w:r>
      <w:r>
        <w:rPr>
          <w:rFonts w:ascii="Times New Roman" w:hAnsi="Times New Roman" w:cs="Times New Roman"/>
          <w:sz w:val="24"/>
          <w:lang w:val="en-US"/>
        </w:rPr>
        <w:t>surgical treatment due to nonunion or refracture</w:t>
      </w:r>
      <w:r w:rsidRPr="00B97F17">
        <w:rPr>
          <w:rFonts w:ascii="Times New Roman" w:hAnsi="Times New Roman" w:cs="Times New Roman"/>
          <w:sz w:val="24"/>
          <w:lang w:val="en-US"/>
        </w:rPr>
        <w:t xml:space="preserve"> (n=10). The B group was divided into two subgroup</w:t>
      </w:r>
      <w:r>
        <w:rPr>
          <w:rFonts w:ascii="Times New Roman" w:hAnsi="Times New Roman" w:cs="Times New Roman"/>
          <w:sz w:val="24"/>
          <w:lang w:val="en-US"/>
        </w:rPr>
        <w:t>s</w:t>
      </w:r>
      <w:r w:rsidRPr="00B97F17">
        <w:rPr>
          <w:rFonts w:ascii="Times New Roman" w:hAnsi="Times New Roman" w:cs="Times New Roman"/>
          <w:sz w:val="24"/>
          <w:lang w:val="en-US"/>
        </w:rPr>
        <w:t>: 1 - players with nonunion bone and with modification of treatment type (n=4), 2 - players who retu</w:t>
      </w:r>
      <w:r>
        <w:rPr>
          <w:rFonts w:ascii="Times New Roman" w:hAnsi="Times New Roman" w:cs="Times New Roman"/>
          <w:sz w:val="24"/>
          <w:lang w:val="en-US"/>
        </w:rPr>
        <w:t>rn to play after conserv</w:t>
      </w:r>
      <w:r w:rsidRPr="00B97F17">
        <w:rPr>
          <w:rFonts w:ascii="Times New Roman" w:hAnsi="Times New Roman" w:cs="Times New Roman"/>
          <w:sz w:val="24"/>
          <w:lang w:val="en-US"/>
        </w:rPr>
        <w:t>ative treatment and had ne</w:t>
      </w:r>
      <w:r>
        <w:rPr>
          <w:rFonts w:ascii="Times New Roman" w:hAnsi="Times New Roman" w:cs="Times New Roman"/>
          <w:sz w:val="24"/>
          <w:lang w:val="en-US"/>
        </w:rPr>
        <w:t>xt injury in this same bone (n=6).</w:t>
      </w:r>
      <w:r w:rsidR="004965CF">
        <w:rPr>
          <w:rFonts w:ascii="Times New Roman" w:hAnsi="Times New Roman" w:cs="Times New Roman"/>
          <w:sz w:val="24"/>
          <w:lang w:val="en-US"/>
        </w:rPr>
        <w:t xml:space="preserve"> The re</w:t>
      </w:r>
      <w:r w:rsidR="004965CF" w:rsidRPr="00B97F17">
        <w:rPr>
          <w:rFonts w:ascii="Times New Roman" w:hAnsi="Times New Roman" w:cs="Times New Roman"/>
          <w:sz w:val="24"/>
          <w:lang w:val="en-US"/>
        </w:rPr>
        <w:t>injury and nonunion bone cases was treated surgically using a cannulated screw.</w:t>
      </w:r>
    </w:p>
    <w:p w14:paraId="29BC7136" w14:textId="3DC21577" w:rsidR="008146A3" w:rsidRPr="008146A3" w:rsidRDefault="008146A3" w:rsidP="008146A3">
      <w:pPr>
        <w:spacing w:line="360" w:lineRule="auto"/>
        <w:jc w:val="both"/>
        <w:rPr>
          <w:rFonts w:ascii="Times New Roman" w:hAnsi="Times New Roman" w:cs="Times New Roman"/>
          <w:b/>
          <w:i/>
          <w:sz w:val="24"/>
          <w:lang w:val="en-US"/>
        </w:rPr>
      </w:pPr>
      <w:r w:rsidRPr="008146A3">
        <w:rPr>
          <w:rFonts w:ascii="Times New Roman" w:hAnsi="Times New Roman" w:cs="Times New Roman"/>
          <w:b/>
          <w:i/>
          <w:sz w:val="24"/>
          <w:lang w:val="en-US"/>
        </w:rPr>
        <w:t>Statystical Analyses</w:t>
      </w:r>
    </w:p>
    <w:p w14:paraId="6825FE31" w14:textId="765AE2FA" w:rsidR="00025127" w:rsidRDefault="007143B4" w:rsidP="007B005C">
      <w:pPr>
        <w:spacing w:line="360" w:lineRule="auto"/>
        <w:ind w:firstLine="708"/>
        <w:jc w:val="both"/>
        <w:rPr>
          <w:rFonts w:ascii="Times New Roman" w:hAnsi="Times New Roman" w:cs="Times New Roman"/>
          <w:sz w:val="24"/>
          <w:lang w:val="en-US"/>
        </w:rPr>
      </w:pPr>
      <w:r w:rsidRPr="007143B4">
        <w:rPr>
          <w:rFonts w:ascii="Times New Roman" w:hAnsi="Times New Roman" w:cs="Times New Roman"/>
          <w:sz w:val="24"/>
          <w:lang w:val="en-US"/>
        </w:rPr>
        <w:t>The data analysis revealed that all data were normally distributed, with no further transformation required. A t-test was applied to compare time need to RTP and total inability to play between groups. ANOVA was used to test interactions of age, weight, height and BMI on  fracture risk. The level of significance was set at p &lt; 0.05 and all data were expressed as mean ± SD.</w:t>
      </w:r>
    </w:p>
    <w:p w14:paraId="3B76AE79" w14:textId="77777777" w:rsidR="00A51EF7" w:rsidRDefault="00A51EF7" w:rsidP="00EE2AD4">
      <w:pPr>
        <w:spacing w:line="360" w:lineRule="auto"/>
        <w:ind w:firstLine="708"/>
        <w:jc w:val="both"/>
        <w:rPr>
          <w:rFonts w:ascii="Times New Roman" w:hAnsi="Times New Roman" w:cs="Times New Roman"/>
          <w:b/>
          <w:sz w:val="24"/>
          <w:lang w:val="en-US"/>
        </w:rPr>
      </w:pPr>
    </w:p>
    <w:p w14:paraId="2CBE0E87" w14:textId="77777777" w:rsidR="00A51EF7" w:rsidRDefault="00A51EF7" w:rsidP="00EE2AD4">
      <w:pPr>
        <w:spacing w:line="360" w:lineRule="auto"/>
        <w:ind w:firstLine="708"/>
        <w:jc w:val="both"/>
        <w:rPr>
          <w:rFonts w:ascii="Times New Roman" w:hAnsi="Times New Roman" w:cs="Times New Roman"/>
          <w:b/>
          <w:sz w:val="24"/>
          <w:lang w:val="en-US"/>
        </w:rPr>
      </w:pPr>
    </w:p>
    <w:p w14:paraId="40F985F3" w14:textId="77777777" w:rsidR="00A51EF7" w:rsidRDefault="00A51EF7" w:rsidP="00EE2AD4">
      <w:pPr>
        <w:spacing w:line="360" w:lineRule="auto"/>
        <w:ind w:firstLine="708"/>
        <w:jc w:val="both"/>
        <w:rPr>
          <w:rFonts w:ascii="Times New Roman" w:hAnsi="Times New Roman" w:cs="Times New Roman"/>
          <w:b/>
          <w:sz w:val="24"/>
          <w:lang w:val="en-US"/>
        </w:rPr>
      </w:pPr>
    </w:p>
    <w:p w14:paraId="11DC4BAF" w14:textId="77777777" w:rsidR="00EA056D" w:rsidRDefault="00EA056D" w:rsidP="00EE2AD4">
      <w:pPr>
        <w:spacing w:line="360" w:lineRule="auto"/>
        <w:ind w:firstLine="708"/>
        <w:jc w:val="both"/>
        <w:rPr>
          <w:rFonts w:ascii="Times New Roman" w:hAnsi="Times New Roman" w:cs="Times New Roman"/>
          <w:b/>
          <w:sz w:val="24"/>
          <w:lang w:val="en-US"/>
        </w:rPr>
      </w:pPr>
    </w:p>
    <w:p w14:paraId="3898771A" w14:textId="12318C33" w:rsidR="00C6026C" w:rsidRPr="00C90AA1" w:rsidRDefault="002709A3" w:rsidP="00EE2AD4">
      <w:pPr>
        <w:spacing w:line="360" w:lineRule="auto"/>
        <w:ind w:firstLine="708"/>
        <w:jc w:val="both"/>
        <w:rPr>
          <w:rFonts w:ascii="Times New Roman" w:hAnsi="Times New Roman" w:cs="Times New Roman"/>
          <w:b/>
          <w:sz w:val="24"/>
          <w:lang w:val="en-US"/>
        </w:rPr>
      </w:pPr>
      <w:r w:rsidRPr="00C90AA1">
        <w:rPr>
          <w:rFonts w:ascii="Times New Roman" w:hAnsi="Times New Roman" w:cs="Times New Roman"/>
          <w:b/>
          <w:sz w:val="24"/>
          <w:lang w:val="en-US"/>
        </w:rPr>
        <w:lastRenderedPageBreak/>
        <w:t xml:space="preserve">RESULTS </w:t>
      </w:r>
    </w:p>
    <w:p w14:paraId="5963BE8A" w14:textId="73C78368" w:rsidR="00B97F17" w:rsidRPr="00B97F17" w:rsidRDefault="00E254C8" w:rsidP="00B97F17">
      <w:pPr>
        <w:spacing w:line="360" w:lineRule="auto"/>
        <w:ind w:firstLine="708"/>
        <w:jc w:val="both"/>
        <w:rPr>
          <w:rFonts w:ascii="Times New Roman" w:hAnsi="Times New Roman" w:cs="Times New Roman"/>
          <w:sz w:val="24"/>
          <w:lang w:val="en-US"/>
        </w:rPr>
      </w:pPr>
      <w:r>
        <w:rPr>
          <w:rFonts w:ascii="Times New Roman" w:hAnsi="Times New Roman" w:cs="Times New Roman"/>
          <w:sz w:val="24"/>
          <w:lang w:val="en-US"/>
        </w:rPr>
        <w:t>The midfielders were</w:t>
      </w:r>
      <w:r w:rsidR="00B97F17" w:rsidRPr="00B97F17">
        <w:rPr>
          <w:rFonts w:ascii="Times New Roman" w:hAnsi="Times New Roman" w:cs="Times New Roman"/>
          <w:sz w:val="24"/>
          <w:lang w:val="en-US"/>
        </w:rPr>
        <w:t xml:space="preserve"> primarily in the group of risk for fracture and made 48% of the ex</w:t>
      </w:r>
      <w:r>
        <w:rPr>
          <w:rFonts w:ascii="Times New Roman" w:hAnsi="Times New Roman" w:cs="Times New Roman"/>
          <w:sz w:val="24"/>
          <w:lang w:val="en-US"/>
        </w:rPr>
        <w:t xml:space="preserve">amination group. </w:t>
      </w:r>
      <w:r w:rsidR="00B97F17" w:rsidRPr="00B97F17">
        <w:rPr>
          <w:rFonts w:ascii="Times New Roman" w:hAnsi="Times New Roman" w:cs="Times New Roman"/>
          <w:sz w:val="24"/>
          <w:lang w:val="en-US"/>
        </w:rPr>
        <w:t xml:space="preserve">A one patient from the A group has suffered a refracture bone. The cause of this injury was a foul by a player of the opponent team 4 weeks after RTP. </w:t>
      </w:r>
    </w:p>
    <w:p w14:paraId="2DC2E982" w14:textId="64A2944C" w:rsidR="00556637" w:rsidRPr="006B400C" w:rsidRDefault="00B97F17" w:rsidP="006B400C">
      <w:pPr>
        <w:spacing w:line="360" w:lineRule="auto"/>
        <w:ind w:firstLine="708"/>
        <w:jc w:val="both"/>
        <w:rPr>
          <w:rFonts w:ascii="Times New Roman" w:hAnsi="Times New Roman" w:cs="Times New Roman"/>
          <w:sz w:val="24"/>
          <w:lang w:val="en-US"/>
        </w:rPr>
      </w:pPr>
      <w:r w:rsidRPr="00B97F17">
        <w:rPr>
          <w:rFonts w:ascii="Times New Roman" w:hAnsi="Times New Roman" w:cs="Times New Roman"/>
          <w:sz w:val="24"/>
          <w:lang w:val="en-US"/>
        </w:rPr>
        <w:t>RTP after surgery wa</w:t>
      </w:r>
      <w:r w:rsidR="000B7F97">
        <w:rPr>
          <w:rFonts w:ascii="Times New Roman" w:hAnsi="Times New Roman" w:cs="Times New Roman"/>
          <w:sz w:val="24"/>
          <w:lang w:val="en-US"/>
        </w:rPr>
        <w:t>s on average 9.5 (± 2.3</w:t>
      </w:r>
      <w:r w:rsidR="009706B6">
        <w:rPr>
          <w:rFonts w:ascii="Times New Roman" w:hAnsi="Times New Roman" w:cs="Times New Roman"/>
          <w:sz w:val="24"/>
          <w:lang w:val="en-US"/>
        </w:rPr>
        <w:t xml:space="preserve">) weeks. </w:t>
      </w:r>
      <w:r w:rsidR="00E254C8">
        <w:rPr>
          <w:rFonts w:ascii="Times New Roman" w:hAnsi="Times New Roman" w:cs="Times New Roman"/>
          <w:sz w:val="24"/>
          <w:lang w:val="en-US"/>
        </w:rPr>
        <w:t>Time between the surgery and</w:t>
      </w:r>
      <w:r w:rsidRPr="00B97F17">
        <w:rPr>
          <w:rFonts w:ascii="Times New Roman" w:hAnsi="Times New Roman" w:cs="Times New Roman"/>
          <w:sz w:val="24"/>
          <w:lang w:val="en-US"/>
        </w:rPr>
        <w:t xml:space="preserve"> RTP in group A was 0.4 weeks shorter than </w:t>
      </w:r>
      <w:r w:rsidR="009706B6">
        <w:rPr>
          <w:rFonts w:ascii="Times New Roman" w:hAnsi="Times New Roman" w:cs="Times New Roman"/>
          <w:sz w:val="24"/>
          <w:lang w:val="en-US"/>
        </w:rPr>
        <w:t>in group B (9.3 vs. 9.7 weeks</w:t>
      </w:r>
      <w:r w:rsidR="00C708A4">
        <w:rPr>
          <w:rFonts w:ascii="Times New Roman" w:hAnsi="Times New Roman" w:cs="Times New Roman"/>
          <w:sz w:val="24"/>
          <w:lang w:val="en-US"/>
        </w:rPr>
        <w:t xml:space="preserve">; </w:t>
      </w:r>
      <w:r w:rsidR="00F36454">
        <w:rPr>
          <w:rFonts w:ascii="Times New Roman" w:hAnsi="Times New Roman" w:cs="Times New Roman"/>
          <w:sz w:val="24"/>
          <w:lang w:val="en-US"/>
        </w:rPr>
        <w:t>p&gt;0.05</w:t>
      </w:r>
      <w:r w:rsidR="009706B6">
        <w:rPr>
          <w:rFonts w:ascii="Times New Roman" w:hAnsi="Times New Roman" w:cs="Times New Roman"/>
          <w:sz w:val="24"/>
          <w:lang w:val="en-US"/>
        </w:rPr>
        <w:t>)</w:t>
      </w:r>
      <w:r w:rsidR="00034849">
        <w:rPr>
          <w:rFonts w:ascii="Times New Roman" w:hAnsi="Times New Roman" w:cs="Times New Roman"/>
          <w:sz w:val="24"/>
          <w:lang w:val="en-US"/>
        </w:rPr>
        <w:t xml:space="preserve"> (Fig.2)</w:t>
      </w:r>
      <w:r w:rsidR="009706B6">
        <w:rPr>
          <w:rFonts w:ascii="Times New Roman" w:hAnsi="Times New Roman" w:cs="Times New Roman"/>
          <w:sz w:val="24"/>
          <w:lang w:val="en-US"/>
        </w:rPr>
        <w:t>.</w:t>
      </w:r>
      <w:r w:rsidRPr="00B97F17">
        <w:rPr>
          <w:rFonts w:ascii="Times New Roman" w:hAnsi="Times New Roman" w:cs="Times New Roman"/>
          <w:sz w:val="24"/>
          <w:lang w:val="en-US"/>
        </w:rPr>
        <w:t xml:space="preserve"> The longest time need to RTP after surgical treatment was reported for patients in </w:t>
      </w:r>
      <w:r w:rsidR="009706B6">
        <w:rPr>
          <w:rFonts w:ascii="Times New Roman" w:hAnsi="Times New Roman" w:cs="Times New Roman"/>
          <w:sz w:val="24"/>
          <w:lang w:val="en-US"/>
        </w:rPr>
        <w:t xml:space="preserve">subgroup 1 (10.8, </w:t>
      </w:r>
      <w:r w:rsidR="00170C50">
        <w:rPr>
          <w:rFonts w:ascii="Times New Roman" w:hAnsi="Times New Roman" w:cs="Times New Roman"/>
          <w:sz w:val="24"/>
          <w:lang w:val="en-US"/>
        </w:rPr>
        <w:t xml:space="preserve">SD </w:t>
      </w:r>
      <w:r w:rsidR="009706B6">
        <w:rPr>
          <w:rFonts w:ascii="Times New Roman" w:hAnsi="Times New Roman" w:cs="Times New Roman"/>
          <w:sz w:val="24"/>
          <w:lang w:val="en-US"/>
        </w:rPr>
        <w:t xml:space="preserve">±3.1 weeks). </w:t>
      </w:r>
      <w:r w:rsidRPr="00B97F17">
        <w:rPr>
          <w:rFonts w:ascii="Times New Roman" w:hAnsi="Times New Roman" w:cs="Times New Roman"/>
          <w:sz w:val="24"/>
          <w:lang w:val="en-US"/>
        </w:rPr>
        <w:t>Average time between RTP</w:t>
      </w:r>
      <w:r w:rsidR="00E254C8">
        <w:rPr>
          <w:rFonts w:ascii="Times New Roman" w:hAnsi="Times New Roman" w:cs="Times New Roman"/>
          <w:sz w:val="24"/>
          <w:lang w:val="en-US"/>
        </w:rPr>
        <w:t xml:space="preserve"> after conservative treatment and</w:t>
      </w:r>
      <w:r w:rsidRPr="00B97F17">
        <w:rPr>
          <w:rFonts w:ascii="Times New Roman" w:hAnsi="Times New Roman" w:cs="Times New Roman"/>
          <w:sz w:val="24"/>
          <w:lang w:val="en-US"/>
        </w:rPr>
        <w:t xml:space="preserve"> re</w:t>
      </w:r>
      <w:r w:rsidR="00D905B6">
        <w:rPr>
          <w:rFonts w:ascii="Times New Roman" w:hAnsi="Times New Roman" w:cs="Times New Roman"/>
          <w:sz w:val="24"/>
          <w:lang w:val="en-US"/>
        </w:rPr>
        <w:t>fracture</w:t>
      </w:r>
      <w:r w:rsidRPr="00B97F17">
        <w:rPr>
          <w:rFonts w:ascii="Times New Roman" w:hAnsi="Times New Roman" w:cs="Times New Roman"/>
          <w:sz w:val="24"/>
          <w:lang w:val="en-US"/>
        </w:rPr>
        <w:t xml:space="preserve"> w</w:t>
      </w:r>
      <w:r w:rsidR="009706B6">
        <w:rPr>
          <w:rFonts w:ascii="Times New Roman" w:hAnsi="Times New Roman" w:cs="Times New Roman"/>
          <w:sz w:val="24"/>
          <w:lang w:val="en-US"/>
        </w:rPr>
        <w:t xml:space="preserve">as 21.7 (min 6; max 52) weeks. </w:t>
      </w:r>
      <w:r w:rsidRPr="00B97F17">
        <w:rPr>
          <w:rFonts w:ascii="Times New Roman" w:hAnsi="Times New Roman" w:cs="Times New Roman"/>
          <w:sz w:val="24"/>
          <w:lang w:val="en-US"/>
        </w:rPr>
        <w:t>A total time of inability to play was 10.3 (</w:t>
      </w:r>
      <w:r w:rsidR="00170C50">
        <w:rPr>
          <w:rFonts w:ascii="Times New Roman" w:hAnsi="Times New Roman" w:cs="Times New Roman"/>
          <w:sz w:val="24"/>
          <w:lang w:val="en-US"/>
        </w:rPr>
        <w:t xml:space="preserve">SD </w:t>
      </w:r>
      <w:r w:rsidRPr="00B97F17">
        <w:rPr>
          <w:rFonts w:ascii="Times New Roman" w:hAnsi="Times New Roman" w:cs="Times New Roman"/>
          <w:sz w:val="24"/>
          <w:lang w:val="en-US"/>
        </w:rPr>
        <w:t>±2.8) weeks in A group and 20.5 (±7.2) weeks in group B</w:t>
      </w:r>
      <w:r w:rsidR="00034849">
        <w:rPr>
          <w:rFonts w:ascii="Times New Roman" w:hAnsi="Times New Roman" w:cs="Times New Roman"/>
          <w:sz w:val="24"/>
          <w:lang w:val="en-US"/>
        </w:rPr>
        <w:t xml:space="preserve"> (Fig. 3</w:t>
      </w:r>
      <w:r w:rsidR="00643766">
        <w:rPr>
          <w:rFonts w:ascii="Times New Roman" w:hAnsi="Times New Roman" w:cs="Times New Roman"/>
          <w:sz w:val="24"/>
          <w:lang w:val="en-US"/>
        </w:rPr>
        <w:t>)</w:t>
      </w:r>
      <w:r w:rsidRPr="00B97F17">
        <w:rPr>
          <w:rFonts w:ascii="Times New Roman" w:hAnsi="Times New Roman" w:cs="Times New Roman"/>
          <w:sz w:val="24"/>
          <w:lang w:val="en-US"/>
        </w:rPr>
        <w:t>. The longest inability time to play in g</w:t>
      </w:r>
      <w:r w:rsidR="009706B6">
        <w:rPr>
          <w:rFonts w:ascii="Times New Roman" w:hAnsi="Times New Roman" w:cs="Times New Roman"/>
          <w:sz w:val="24"/>
          <w:lang w:val="en-US"/>
        </w:rPr>
        <w:t>roup A had a player with re</w:t>
      </w:r>
      <w:r w:rsidRPr="00B97F17">
        <w:rPr>
          <w:rFonts w:ascii="Times New Roman" w:hAnsi="Times New Roman" w:cs="Times New Roman"/>
          <w:sz w:val="24"/>
          <w:lang w:val="en-US"/>
        </w:rPr>
        <w:t xml:space="preserve">fracture (2x8 weeks). In group B, the longest inability time was reported in player </w:t>
      </w:r>
      <w:r w:rsidR="009706B6">
        <w:rPr>
          <w:rFonts w:ascii="Times New Roman" w:hAnsi="Times New Roman" w:cs="Times New Roman"/>
          <w:sz w:val="24"/>
          <w:lang w:val="en-US"/>
        </w:rPr>
        <w:t xml:space="preserve">with nonunion bone (40 weeks). </w:t>
      </w:r>
      <w:r w:rsidRPr="00B97F17">
        <w:rPr>
          <w:rFonts w:ascii="Times New Roman" w:hAnsi="Times New Roman" w:cs="Times New Roman"/>
          <w:sz w:val="24"/>
          <w:lang w:val="en-US"/>
        </w:rPr>
        <w:t>T</w:t>
      </w:r>
      <w:r w:rsidR="00034849">
        <w:rPr>
          <w:rFonts w:ascii="Times New Roman" w:hAnsi="Times New Roman" w:cs="Times New Roman"/>
          <w:sz w:val="24"/>
          <w:lang w:val="en-US"/>
        </w:rPr>
        <w:t xml:space="preserve">he </w:t>
      </w:r>
      <w:r w:rsidR="00034849" w:rsidRPr="00B97F17">
        <w:rPr>
          <w:rFonts w:ascii="Times New Roman" w:hAnsi="Times New Roman" w:cs="Times New Roman"/>
          <w:sz w:val="24"/>
          <w:lang w:val="en-US"/>
        </w:rPr>
        <w:t>total time of inability to play</w:t>
      </w:r>
      <w:r w:rsidR="0026170A">
        <w:rPr>
          <w:rFonts w:ascii="Times New Roman" w:hAnsi="Times New Roman" w:cs="Times New Roman"/>
          <w:sz w:val="24"/>
          <w:lang w:val="en-US"/>
        </w:rPr>
        <w:t xml:space="preserve"> </w:t>
      </w:r>
      <w:r w:rsidR="00170C50">
        <w:rPr>
          <w:rFonts w:ascii="Times New Roman" w:hAnsi="Times New Roman" w:cs="Times New Roman"/>
          <w:sz w:val="24"/>
          <w:lang w:val="en-US"/>
        </w:rPr>
        <w:t xml:space="preserve">in </w:t>
      </w:r>
      <w:r w:rsidRPr="00B97F17">
        <w:rPr>
          <w:rFonts w:ascii="Times New Roman" w:hAnsi="Times New Roman" w:cs="Times New Roman"/>
          <w:sz w:val="24"/>
          <w:lang w:val="en-US"/>
        </w:rPr>
        <w:t xml:space="preserve">subgroup </w:t>
      </w:r>
      <w:r w:rsidR="00170C50">
        <w:rPr>
          <w:rFonts w:ascii="Times New Roman" w:hAnsi="Times New Roman" w:cs="Times New Roman"/>
          <w:sz w:val="24"/>
          <w:lang w:val="en-US"/>
        </w:rPr>
        <w:t xml:space="preserve">1 </w:t>
      </w:r>
      <w:r w:rsidRPr="00B97F17">
        <w:rPr>
          <w:rFonts w:ascii="Times New Roman" w:hAnsi="Times New Roman" w:cs="Times New Roman"/>
          <w:sz w:val="24"/>
          <w:lang w:val="en-US"/>
        </w:rPr>
        <w:t>was 17.8 (±2.4)</w:t>
      </w:r>
      <w:r w:rsidR="00D905B6">
        <w:rPr>
          <w:rFonts w:ascii="Times New Roman" w:hAnsi="Times New Roman" w:cs="Times New Roman"/>
          <w:sz w:val="24"/>
          <w:lang w:val="en-US"/>
        </w:rPr>
        <w:t xml:space="preserve"> </w:t>
      </w:r>
      <w:r w:rsidR="00170C50">
        <w:rPr>
          <w:rFonts w:ascii="Times New Roman" w:hAnsi="Times New Roman" w:cs="Times New Roman"/>
          <w:sz w:val="24"/>
          <w:lang w:val="en-US"/>
        </w:rPr>
        <w:t>weeks</w:t>
      </w:r>
      <w:r w:rsidR="009706B6">
        <w:rPr>
          <w:rFonts w:ascii="Times New Roman" w:hAnsi="Times New Roman" w:cs="Times New Roman"/>
          <w:sz w:val="24"/>
          <w:lang w:val="en-US"/>
        </w:rPr>
        <w:t xml:space="preserve"> and 24.5 (±10.5) in sub</w:t>
      </w:r>
      <w:r w:rsidRPr="00B97F17">
        <w:rPr>
          <w:rFonts w:ascii="Times New Roman" w:hAnsi="Times New Roman" w:cs="Times New Roman"/>
          <w:sz w:val="24"/>
          <w:lang w:val="en-US"/>
        </w:rPr>
        <w:t>group 2</w:t>
      </w:r>
      <w:r w:rsidR="00034849">
        <w:rPr>
          <w:rFonts w:ascii="Times New Roman" w:hAnsi="Times New Roman" w:cs="Times New Roman"/>
          <w:sz w:val="24"/>
          <w:lang w:val="en-US"/>
        </w:rPr>
        <w:t xml:space="preserve"> (Fig. 4</w:t>
      </w:r>
      <w:r w:rsidR="00643766">
        <w:rPr>
          <w:rFonts w:ascii="Times New Roman" w:hAnsi="Times New Roman" w:cs="Times New Roman"/>
          <w:sz w:val="24"/>
          <w:lang w:val="en-US"/>
        </w:rPr>
        <w:t>)</w:t>
      </w:r>
      <w:r w:rsidRPr="00B97F17">
        <w:rPr>
          <w:rFonts w:ascii="Times New Roman" w:hAnsi="Times New Roman" w:cs="Times New Roman"/>
          <w:sz w:val="24"/>
          <w:lang w:val="en-US"/>
        </w:rPr>
        <w:t>.</w:t>
      </w:r>
      <w:r w:rsidR="00C64C8A">
        <w:rPr>
          <w:rFonts w:ascii="Times New Roman" w:hAnsi="Times New Roman" w:cs="Times New Roman"/>
          <w:sz w:val="24"/>
          <w:lang w:val="en-US"/>
        </w:rPr>
        <w:t xml:space="preserve"> </w:t>
      </w:r>
      <w:r w:rsidR="00C64C8A" w:rsidRPr="00C64C8A">
        <w:rPr>
          <w:rFonts w:ascii="Times New Roman" w:hAnsi="Times New Roman" w:cs="Times New Roman"/>
          <w:sz w:val="24"/>
          <w:lang w:val="en-US"/>
        </w:rPr>
        <w:t>There were no statistical correlations between the fracture and age, weight, height.</w:t>
      </w:r>
    </w:p>
    <w:p w14:paraId="15091924" w14:textId="77777777" w:rsidR="00282695" w:rsidRPr="008146A3" w:rsidRDefault="00025127" w:rsidP="00282695">
      <w:pPr>
        <w:spacing w:line="360" w:lineRule="auto"/>
        <w:ind w:firstLine="708"/>
        <w:jc w:val="both"/>
        <w:rPr>
          <w:rFonts w:ascii="Times New Roman" w:hAnsi="Times New Roman" w:cs="Times New Roman"/>
          <w:b/>
          <w:sz w:val="24"/>
          <w:lang w:val="en-US"/>
        </w:rPr>
      </w:pPr>
      <w:r w:rsidRPr="008146A3">
        <w:rPr>
          <w:rFonts w:ascii="Times New Roman" w:hAnsi="Times New Roman" w:cs="Times New Roman"/>
          <w:b/>
          <w:sz w:val="24"/>
          <w:lang w:val="en-US"/>
        </w:rPr>
        <w:t>DISCUSSION</w:t>
      </w:r>
    </w:p>
    <w:p w14:paraId="6E6FBFCF" w14:textId="5715E9B7" w:rsidR="00AE6BEE" w:rsidRPr="00322FF2" w:rsidRDefault="00AE6BEE" w:rsidP="00AE6BEE">
      <w:pPr>
        <w:spacing w:line="360" w:lineRule="auto"/>
        <w:ind w:firstLine="708"/>
        <w:jc w:val="both"/>
        <w:rPr>
          <w:rFonts w:ascii="Times New Roman" w:hAnsi="Times New Roman" w:cs="Times New Roman"/>
          <w:sz w:val="24"/>
          <w:lang w:val="en-US"/>
        </w:rPr>
      </w:pPr>
      <w:r w:rsidRPr="00322FF2">
        <w:rPr>
          <w:rFonts w:ascii="Times New Roman" w:hAnsi="Times New Roman" w:cs="Times New Roman"/>
          <w:sz w:val="24"/>
          <w:lang w:val="en-US"/>
        </w:rPr>
        <w:t xml:space="preserve">Lower limb injuries, including fractures of </w:t>
      </w:r>
      <w:r>
        <w:rPr>
          <w:rFonts w:ascii="Times New Roman" w:hAnsi="Times New Roman" w:cs="Times New Roman"/>
          <w:sz w:val="24"/>
          <w:lang w:val="en-US"/>
        </w:rPr>
        <w:t>t</w:t>
      </w:r>
      <w:r w:rsidRPr="00322FF2">
        <w:rPr>
          <w:rFonts w:ascii="Times New Roman" w:hAnsi="Times New Roman" w:cs="Times New Roman"/>
          <w:sz w:val="24"/>
          <w:lang w:val="en-US"/>
        </w:rPr>
        <w:t>he 5th metatarsal bone</w:t>
      </w:r>
      <w:r>
        <w:rPr>
          <w:rFonts w:ascii="Times New Roman" w:hAnsi="Times New Roman" w:cs="Times New Roman"/>
          <w:sz w:val="24"/>
          <w:lang w:val="en-US"/>
        </w:rPr>
        <w:t xml:space="preserve"> base</w:t>
      </w:r>
      <w:r w:rsidRPr="00322FF2">
        <w:rPr>
          <w:rFonts w:ascii="Times New Roman" w:hAnsi="Times New Roman" w:cs="Times New Roman"/>
          <w:sz w:val="24"/>
          <w:lang w:val="en-US"/>
        </w:rPr>
        <w:t>, are a serio</w:t>
      </w:r>
      <w:r>
        <w:rPr>
          <w:rFonts w:ascii="Times New Roman" w:hAnsi="Times New Roman" w:cs="Times New Roman"/>
          <w:sz w:val="24"/>
          <w:lang w:val="en-US"/>
        </w:rPr>
        <w:t xml:space="preserve">us problem that could exclude </w:t>
      </w:r>
      <w:r w:rsidRPr="00322FF2">
        <w:rPr>
          <w:rFonts w:ascii="Times New Roman" w:hAnsi="Times New Roman" w:cs="Times New Roman"/>
          <w:sz w:val="24"/>
          <w:lang w:val="en-US"/>
        </w:rPr>
        <w:t xml:space="preserve">player from the game for several months and significantly affect his career. Therefore, the likelihood </w:t>
      </w:r>
      <w:r>
        <w:rPr>
          <w:rFonts w:ascii="Times New Roman" w:hAnsi="Times New Roman" w:cs="Times New Roman"/>
          <w:sz w:val="24"/>
          <w:lang w:val="en-US"/>
        </w:rPr>
        <w:t>of experiencing</w:t>
      </w:r>
      <w:r w:rsidRPr="00322FF2">
        <w:rPr>
          <w:rFonts w:ascii="Times New Roman" w:hAnsi="Times New Roman" w:cs="Times New Roman"/>
          <w:sz w:val="24"/>
          <w:lang w:val="en-US"/>
        </w:rPr>
        <w:t xml:space="preserve"> this</w:t>
      </w:r>
      <w:r>
        <w:rPr>
          <w:rFonts w:ascii="Times New Roman" w:hAnsi="Times New Roman" w:cs="Times New Roman"/>
          <w:sz w:val="24"/>
          <w:lang w:val="en-US"/>
        </w:rPr>
        <w:t xml:space="preserve"> particular</w:t>
      </w:r>
      <w:r w:rsidRPr="00322FF2">
        <w:rPr>
          <w:rFonts w:ascii="Times New Roman" w:hAnsi="Times New Roman" w:cs="Times New Roman"/>
          <w:sz w:val="24"/>
          <w:lang w:val="en-US"/>
        </w:rPr>
        <w:t xml:space="preserve"> fractur</w:t>
      </w:r>
      <w:r>
        <w:rPr>
          <w:rFonts w:ascii="Times New Roman" w:hAnsi="Times New Roman" w:cs="Times New Roman"/>
          <w:sz w:val="24"/>
          <w:lang w:val="en-US"/>
        </w:rPr>
        <w:t xml:space="preserve">e should be minimized, and if </w:t>
      </w:r>
      <w:r w:rsidRPr="00322FF2">
        <w:rPr>
          <w:rFonts w:ascii="Times New Roman" w:hAnsi="Times New Roman" w:cs="Times New Roman"/>
          <w:sz w:val="24"/>
          <w:lang w:val="en-US"/>
        </w:rPr>
        <w:t>occurs</w:t>
      </w:r>
      <w:r>
        <w:rPr>
          <w:rFonts w:ascii="Times New Roman" w:hAnsi="Times New Roman" w:cs="Times New Roman"/>
          <w:sz w:val="24"/>
          <w:lang w:val="en-US"/>
        </w:rPr>
        <w:t>,</w:t>
      </w:r>
      <w:r w:rsidRPr="00322FF2">
        <w:rPr>
          <w:rFonts w:ascii="Times New Roman" w:hAnsi="Times New Roman" w:cs="Times New Roman"/>
          <w:sz w:val="24"/>
          <w:lang w:val="en-US"/>
        </w:rPr>
        <w:t xml:space="preserve"> steps should be taken </w:t>
      </w:r>
      <w:r w:rsidR="003B1953">
        <w:rPr>
          <w:rFonts w:ascii="Times New Roman" w:hAnsi="Times New Roman" w:cs="Times New Roman"/>
          <w:sz w:val="24"/>
          <w:lang w:val="en-US"/>
        </w:rPr>
        <w:t>as fast as possible to return</w:t>
      </w:r>
      <w:r w:rsidRPr="00322FF2">
        <w:rPr>
          <w:rFonts w:ascii="Times New Roman" w:hAnsi="Times New Roman" w:cs="Times New Roman"/>
          <w:sz w:val="24"/>
          <w:lang w:val="en-US"/>
        </w:rPr>
        <w:t xml:space="preserve"> full </w:t>
      </w:r>
      <w:r>
        <w:rPr>
          <w:rFonts w:ascii="Times New Roman" w:hAnsi="Times New Roman" w:cs="Times New Roman"/>
          <w:sz w:val="24"/>
          <w:lang w:val="en-US"/>
        </w:rPr>
        <w:t>training performance</w:t>
      </w:r>
      <w:r w:rsidRPr="00322FF2">
        <w:rPr>
          <w:rFonts w:ascii="Times New Roman" w:hAnsi="Times New Roman" w:cs="Times New Roman"/>
          <w:sz w:val="24"/>
          <w:lang w:val="en-US"/>
        </w:rPr>
        <w:t>. The risk of</w:t>
      </w:r>
      <w:r>
        <w:rPr>
          <w:rFonts w:ascii="Times New Roman" w:hAnsi="Times New Roman" w:cs="Times New Roman"/>
          <w:sz w:val="24"/>
          <w:lang w:val="en-US"/>
        </w:rPr>
        <w:t xml:space="preserve"> this exact</w:t>
      </w:r>
      <w:r w:rsidRPr="00322FF2">
        <w:rPr>
          <w:rFonts w:ascii="Times New Roman" w:hAnsi="Times New Roman" w:cs="Times New Roman"/>
          <w:sz w:val="24"/>
          <w:lang w:val="en-US"/>
        </w:rPr>
        <w:t xml:space="preserve"> injury may be related to the player's position</w:t>
      </w:r>
      <w:r>
        <w:rPr>
          <w:rFonts w:ascii="Times New Roman" w:hAnsi="Times New Roman" w:cs="Times New Roman"/>
          <w:sz w:val="24"/>
          <w:lang w:val="en-US"/>
        </w:rPr>
        <w:t xml:space="preserve"> on the field</w:t>
      </w:r>
      <w:r w:rsidRPr="00322FF2">
        <w:rPr>
          <w:rFonts w:ascii="Times New Roman" w:hAnsi="Times New Roman" w:cs="Times New Roman"/>
          <w:sz w:val="24"/>
          <w:lang w:val="en-US"/>
        </w:rPr>
        <w:t xml:space="preserve">. It has been shown that midfielders are </w:t>
      </w:r>
      <w:r>
        <w:rPr>
          <w:rFonts w:ascii="Times New Roman" w:hAnsi="Times New Roman" w:cs="Times New Roman"/>
          <w:sz w:val="24"/>
          <w:lang w:val="en-US"/>
        </w:rPr>
        <w:t>more likely to have their metatarsal bone damaged</w:t>
      </w:r>
      <w:r w:rsidRPr="00322FF2">
        <w:rPr>
          <w:rFonts w:ascii="Times New Roman" w:hAnsi="Times New Roman" w:cs="Times New Roman"/>
          <w:sz w:val="24"/>
          <w:lang w:val="en-US"/>
        </w:rPr>
        <w:t xml:space="preserve">, </w:t>
      </w:r>
      <w:r>
        <w:rPr>
          <w:rFonts w:ascii="Times New Roman" w:hAnsi="Times New Roman" w:cs="Times New Roman"/>
          <w:sz w:val="24"/>
          <w:lang w:val="en-US"/>
        </w:rPr>
        <w:t xml:space="preserve">and </w:t>
      </w:r>
      <w:r w:rsidRPr="00322FF2">
        <w:rPr>
          <w:rFonts w:ascii="Times New Roman" w:hAnsi="Times New Roman" w:cs="Times New Roman"/>
          <w:sz w:val="24"/>
          <w:lang w:val="en-US"/>
        </w:rPr>
        <w:t xml:space="preserve">the </w:t>
      </w:r>
      <w:r>
        <w:rPr>
          <w:rFonts w:ascii="Times New Roman" w:hAnsi="Times New Roman" w:cs="Times New Roman"/>
          <w:sz w:val="24"/>
          <w:lang w:val="en-US"/>
        </w:rPr>
        <w:t>presented outcomes on this issue are</w:t>
      </w:r>
      <w:r w:rsidRPr="00322FF2">
        <w:rPr>
          <w:rFonts w:ascii="Times New Roman" w:hAnsi="Times New Roman" w:cs="Times New Roman"/>
          <w:sz w:val="24"/>
          <w:lang w:val="en-US"/>
        </w:rPr>
        <w:t xml:space="preserve"> consistent with the literature data (Thomson et al., 2018).</w:t>
      </w:r>
    </w:p>
    <w:p w14:paraId="501E5332" w14:textId="34EDFBA0" w:rsidR="00AE6BEE" w:rsidRPr="00322FF2" w:rsidRDefault="00D905B6" w:rsidP="00D905B6">
      <w:pPr>
        <w:spacing w:line="360" w:lineRule="auto"/>
        <w:ind w:firstLine="708"/>
        <w:jc w:val="both"/>
        <w:rPr>
          <w:rFonts w:ascii="Times New Roman" w:hAnsi="Times New Roman" w:cs="Times New Roman"/>
          <w:sz w:val="24"/>
          <w:lang w:val="en-US"/>
        </w:rPr>
      </w:pPr>
      <w:r w:rsidRPr="00D905B6">
        <w:rPr>
          <w:rFonts w:ascii="Times New Roman" w:hAnsi="Times New Roman" w:cs="Times New Roman"/>
          <w:sz w:val="24"/>
          <w:lang w:val="en-US"/>
        </w:rPr>
        <w:t>As shown in the publications of various authors, surgical treatment of acute 5th metatarsal bones fractures brings much better and faster results of recovery compared to the conservative treatment (Bernstein et al., 2018; Japjec et al., 2015; Hong et al., 2018). It is a guideline included in almost every fracture treatment protocol regarding athletes’ convalescence (Japjec et al., 2015</w:t>
      </w:r>
      <w:r>
        <w:rPr>
          <w:rFonts w:ascii="Times New Roman" w:hAnsi="Times New Roman" w:cs="Times New Roman"/>
          <w:sz w:val="24"/>
          <w:lang w:val="en-US"/>
        </w:rPr>
        <w:t>). The results presented in our</w:t>
      </w:r>
      <w:r w:rsidRPr="00D905B6">
        <w:rPr>
          <w:rFonts w:ascii="Times New Roman" w:hAnsi="Times New Roman" w:cs="Times New Roman"/>
          <w:sz w:val="24"/>
          <w:lang w:val="en-US"/>
        </w:rPr>
        <w:t xml:space="preserve"> paper confirm this theory.</w:t>
      </w:r>
      <w:r w:rsidR="00DA04C7" w:rsidRPr="00DA04C7">
        <w:t xml:space="preserve"> </w:t>
      </w:r>
      <w:r w:rsidR="00DA04C7" w:rsidRPr="00DA04C7">
        <w:rPr>
          <w:rFonts w:ascii="Times New Roman" w:hAnsi="Times New Roman" w:cs="Times New Roman"/>
          <w:sz w:val="24"/>
          <w:lang w:val="en-US"/>
        </w:rPr>
        <w:t>Although there were no significant differences in the time between surgery and RTP in the two groups, there was a more frequent refracture and nonunion bone in conservative treatment pa</w:t>
      </w:r>
      <w:r w:rsidR="00DA04C7">
        <w:rPr>
          <w:rFonts w:ascii="Times New Roman" w:hAnsi="Times New Roman" w:cs="Times New Roman"/>
          <w:sz w:val="24"/>
          <w:lang w:val="en-US"/>
        </w:rPr>
        <w:t>tients</w:t>
      </w:r>
      <w:r>
        <w:rPr>
          <w:rFonts w:ascii="Times New Roman" w:hAnsi="Times New Roman" w:cs="Times New Roman"/>
          <w:sz w:val="24"/>
          <w:lang w:val="en-US"/>
        </w:rPr>
        <w:t>.</w:t>
      </w:r>
      <w:r w:rsidR="00A90B40" w:rsidRPr="00A90B40">
        <w:t xml:space="preserve"> </w:t>
      </w:r>
      <w:r w:rsidR="00A90B40" w:rsidRPr="00A90B40">
        <w:rPr>
          <w:rFonts w:ascii="Times New Roman" w:hAnsi="Times New Roman" w:cs="Times New Roman"/>
          <w:sz w:val="24"/>
          <w:lang w:val="en-US"/>
        </w:rPr>
        <w:t>About 30% of the study group has been treated conservatively in the past and experienced refract</w:t>
      </w:r>
      <w:r w:rsidR="00A90B40">
        <w:rPr>
          <w:rFonts w:ascii="Times New Roman" w:hAnsi="Times New Roman" w:cs="Times New Roman"/>
          <w:sz w:val="24"/>
          <w:lang w:val="en-US"/>
        </w:rPr>
        <w:t>ure</w:t>
      </w:r>
      <w:r w:rsidRPr="00D905B6">
        <w:rPr>
          <w:rFonts w:ascii="Times New Roman" w:hAnsi="Times New Roman" w:cs="Times New Roman"/>
          <w:sz w:val="24"/>
          <w:lang w:val="en-US"/>
        </w:rPr>
        <w:t xml:space="preserve">. </w:t>
      </w:r>
      <w:r w:rsidR="00AE6BEE" w:rsidRPr="00322FF2">
        <w:rPr>
          <w:rFonts w:ascii="Times New Roman" w:hAnsi="Times New Roman" w:cs="Times New Roman"/>
          <w:sz w:val="24"/>
          <w:lang w:val="en-US"/>
        </w:rPr>
        <w:t>After surgica</w:t>
      </w:r>
      <w:r>
        <w:rPr>
          <w:rFonts w:ascii="Times New Roman" w:hAnsi="Times New Roman" w:cs="Times New Roman"/>
          <w:sz w:val="24"/>
          <w:lang w:val="en-US"/>
        </w:rPr>
        <w:t>l treatment, only one re</w:t>
      </w:r>
      <w:r w:rsidR="00AE6BEE" w:rsidRPr="00322FF2">
        <w:rPr>
          <w:rFonts w:ascii="Times New Roman" w:hAnsi="Times New Roman" w:cs="Times New Roman"/>
          <w:sz w:val="24"/>
          <w:lang w:val="en-US"/>
        </w:rPr>
        <w:t>fracture was reported (after an opponent's foul).</w:t>
      </w:r>
      <w:r w:rsidR="004965CF">
        <w:rPr>
          <w:rFonts w:ascii="Times New Roman" w:hAnsi="Times New Roman" w:cs="Times New Roman"/>
          <w:sz w:val="24"/>
          <w:lang w:val="en-US"/>
        </w:rPr>
        <w:t xml:space="preserve"> </w:t>
      </w:r>
      <w:r w:rsidR="00AE6BEE" w:rsidRPr="00322FF2">
        <w:rPr>
          <w:rFonts w:ascii="Times New Roman" w:hAnsi="Times New Roman" w:cs="Times New Roman"/>
          <w:sz w:val="24"/>
          <w:lang w:val="en-US"/>
        </w:rPr>
        <w:t>A higher</w:t>
      </w:r>
      <w:r w:rsidR="00AE6BEE">
        <w:rPr>
          <w:rFonts w:ascii="Times New Roman" w:hAnsi="Times New Roman" w:cs="Times New Roman"/>
          <w:sz w:val="24"/>
          <w:lang w:val="en-US"/>
        </w:rPr>
        <w:t xml:space="preserve"> recurrence rate in the group with conservative treatment</w:t>
      </w:r>
      <w:r w:rsidR="00AE6BEE" w:rsidRPr="00322FF2">
        <w:rPr>
          <w:rFonts w:ascii="Times New Roman" w:hAnsi="Times New Roman" w:cs="Times New Roman"/>
          <w:sz w:val="24"/>
          <w:lang w:val="en-US"/>
        </w:rPr>
        <w:t>, especially</w:t>
      </w:r>
      <w:r w:rsidR="00AE6BEE">
        <w:rPr>
          <w:rFonts w:ascii="Times New Roman" w:hAnsi="Times New Roman" w:cs="Times New Roman"/>
          <w:sz w:val="24"/>
          <w:lang w:val="en-US"/>
        </w:rPr>
        <w:t xml:space="preserve"> </w:t>
      </w:r>
      <w:r w:rsidR="00AE6BEE">
        <w:rPr>
          <w:rFonts w:ascii="Times New Roman" w:hAnsi="Times New Roman" w:cs="Times New Roman"/>
          <w:sz w:val="24"/>
          <w:lang w:val="en-US"/>
        </w:rPr>
        <w:lastRenderedPageBreak/>
        <w:t>the</w:t>
      </w:r>
      <w:r w:rsidR="00AE6BEE" w:rsidRPr="00322FF2">
        <w:rPr>
          <w:rFonts w:ascii="Times New Roman" w:hAnsi="Times New Roman" w:cs="Times New Roman"/>
          <w:sz w:val="24"/>
          <w:lang w:val="en-US"/>
        </w:rPr>
        <w:t xml:space="preserve"> athletes, has also been reported in many publications (Wu et al., 2018; Yates et al., 2015). Another problem</w:t>
      </w:r>
      <w:r w:rsidR="00A90B40">
        <w:rPr>
          <w:rFonts w:ascii="Times New Roman" w:hAnsi="Times New Roman" w:cs="Times New Roman"/>
          <w:sz w:val="24"/>
          <w:lang w:val="en-US"/>
        </w:rPr>
        <w:t xml:space="preserve"> is the non</w:t>
      </w:r>
      <w:r w:rsidR="00AE6BEE" w:rsidRPr="00322FF2">
        <w:rPr>
          <w:rFonts w:ascii="Times New Roman" w:hAnsi="Times New Roman" w:cs="Times New Roman"/>
          <w:sz w:val="24"/>
          <w:lang w:val="en-US"/>
        </w:rPr>
        <w:t xml:space="preserve">union bone rate, which ranges from 11% to 50% in the case of conservative treatment (Yates et al., 2015; Valkier et al., 2020). </w:t>
      </w:r>
      <w:r w:rsidR="00552FB7">
        <w:rPr>
          <w:rFonts w:ascii="Times New Roman" w:hAnsi="Times New Roman" w:cs="Times New Roman"/>
          <w:sz w:val="24"/>
          <w:lang w:val="en-US"/>
        </w:rPr>
        <w:t>Our</w:t>
      </w:r>
      <w:r w:rsidR="00AE6BEE" w:rsidRPr="00D55128">
        <w:rPr>
          <w:rFonts w:ascii="Times New Roman" w:hAnsi="Times New Roman" w:cs="Times New Roman"/>
          <w:sz w:val="24"/>
          <w:lang w:val="en-US"/>
        </w:rPr>
        <w:t xml:space="preserve"> study presents 4 cases (19%) of nonunion bone </w:t>
      </w:r>
      <w:r w:rsidR="00552FB7">
        <w:rPr>
          <w:rFonts w:ascii="Times New Roman" w:hAnsi="Times New Roman" w:cs="Times New Roman"/>
          <w:sz w:val="24"/>
          <w:lang w:val="en-US"/>
        </w:rPr>
        <w:t>after</w:t>
      </w:r>
      <w:r w:rsidR="00AE6BEE" w:rsidRPr="00D55128">
        <w:rPr>
          <w:rFonts w:ascii="Times New Roman" w:hAnsi="Times New Roman" w:cs="Times New Roman"/>
          <w:sz w:val="24"/>
          <w:lang w:val="en-US"/>
        </w:rPr>
        <w:t xml:space="preserve"> conservatively and no such case after surgery treatment.</w:t>
      </w:r>
      <w:r w:rsidR="00AE6BEE" w:rsidRPr="00322FF2">
        <w:rPr>
          <w:rFonts w:ascii="Times New Roman" w:hAnsi="Times New Roman" w:cs="Times New Roman"/>
          <w:sz w:val="24"/>
          <w:lang w:val="en-US"/>
        </w:rPr>
        <w:t xml:space="preserve"> The average time to </w:t>
      </w:r>
      <w:r w:rsidR="00552FB7">
        <w:rPr>
          <w:rFonts w:ascii="Times New Roman" w:hAnsi="Times New Roman" w:cs="Times New Roman"/>
          <w:sz w:val="24"/>
          <w:lang w:val="en-US"/>
        </w:rPr>
        <w:t>RTP</w:t>
      </w:r>
      <w:r w:rsidR="00AE6BEE" w:rsidRPr="00322FF2">
        <w:rPr>
          <w:rFonts w:ascii="Times New Roman" w:hAnsi="Times New Roman" w:cs="Times New Roman"/>
          <w:sz w:val="24"/>
          <w:lang w:val="en-US"/>
        </w:rPr>
        <w:t xml:space="preserve"> after a 5th metatarsal fracture is </w:t>
      </w:r>
      <w:r w:rsidR="00AE6BEE">
        <w:rPr>
          <w:rFonts w:ascii="Times New Roman" w:hAnsi="Times New Roman" w:cs="Times New Roman"/>
          <w:sz w:val="24"/>
          <w:lang w:val="en-US"/>
        </w:rPr>
        <w:t>approximately</w:t>
      </w:r>
      <w:r w:rsidR="00AE6BEE" w:rsidRPr="00322FF2">
        <w:rPr>
          <w:rFonts w:ascii="Times New Roman" w:hAnsi="Times New Roman" w:cs="Times New Roman"/>
          <w:sz w:val="24"/>
          <w:lang w:val="en-US"/>
        </w:rPr>
        <w:t xml:space="preserve"> 9 weeks (Pecina et al., 2011), whi</w:t>
      </w:r>
      <w:r w:rsidR="002B6F4F">
        <w:rPr>
          <w:rFonts w:ascii="Times New Roman" w:hAnsi="Times New Roman" w:cs="Times New Roman"/>
          <w:sz w:val="24"/>
          <w:lang w:val="en-US"/>
        </w:rPr>
        <w:t>ch was appear</w:t>
      </w:r>
      <w:r w:rsidR="00AE6BEE">
        <w:rPr>
          <w:rFonts w:ascii="Times New Roman" w:hAnsi="Times New Roman" w:cs="Times New Roman"/>
          <w:sz w:val="24"/>
          <w:lang w:val="en-US"/>
        </w:rPr>
        <w:t>ed in our results as well. Too early weight bearing</w:t>
      </w:r>
      <w:r w:rsidR="00AE6BEE" w:rsidRPr="00322FF2">
        <w:rPr>
          <w:rFonts w:ascii="Times New Roman" w:hAnsi="Times New Roman" w:cs="Times New Roman"/>
          <w:sz w:val="24"/>
          <w:lang w:val="en-US"/>
        </w:rPr>
        <w:t xml:space="preserve"> on the lim</w:t>
      </w:r>
      <w:r w:rsidR="00AE6BEE">
        <w:rPr>
          <w:rFonts w:ascii="Times New Roman" w:hAnsi="Times New Roman" w:cs="Times New Roman"/>
          <w:sz w:val="24"/>
          <w:lang w:val="en-US"/>
        </w:rPr>
        <w:t>b can lead to delayed bone unification</w:t>
      </w:r>
      <w:r w:rsidR="00AE6BEE" w:rsidRPr="00322FF2">
        <w:rPr>
          <w:rFonts w:ascii="Times New Roman" w:hAnsi="Times New Roman" w:cs="Times New Roman"/>
          <w:sz w:val="24"/>
          <w:lang w:val="en-US"/>
        </w:rPr>
        <w:t xml:space="preserve"> and other complications. Miller et al. (2019) showed that players who returned to the game</w:t>
      </w:r>
      <w:r w:rsidR="00AE6BEE">
        <w:rPr>
          <w:rFonts w:ascii="Times New Roman" w:hAnsi="Times New Roman" w:cs="Times New Roman"/>
          <w:sz w:val="24"/>
          <w:lang w:val="en-US"/>
        </w:rPr>
        <w:t xml:space="preserve"> after</w:t>
      </w:r>
      <w:r w:rsidR="00AE6BEE" w:rsidRPr="00322FF2">
        <w:rPr>
          <w:rFonts w:ascii="Times New Roman" w:hAnsi="Times New Roman" w:cs="Times New Roman"/>
          <w:sz w:val="24"/>
          <w:lang w:val="en-US"/>
        </w:rPr>
        <w:t xml:space="preserve"> less than 8 weeks after the injury </w:t>
      </w:r>
      <w:r w:rsidR="00AE6BEE">
        <w:rPr>
          <w:rFonts w:ascii="Times New Roman" w:hAnsi="Times New Roman" w:cs="Times New Roman"/>
          <w:sz w:val="24"/>
          <w:lang w:val="en-US"/>
        </w:rPr>
        <w:t xml:space="preserve">did not </w:t>
      </w:r>
      <w:r w:rsidR="00552FB7">
        <w:rPr>
          <w:rFonts w:ascii="Times New Roman" w:hAnsi="Times New Roman" w:cs="Times New Roman"/>
          <w:sz w:val="24"/>
          <w:lang w:val="en-US"/>
        </w:rPr>
        <w:t>reach full bone union</w:t>
      </w:r>
      <w:r w:rsidR="00AE6BEE" w:rsidRPr="00834293">
        <w:rPr>
          <w:rFonts w:ascii="Times New Roman" w:hAnsi="Times New Roman" w:cs="Times New Roman"/>
          <w:sz w:val="24"/>
          <w:lang w:val="en-US"/>
        </w:rPr>
        <w:t xml:space="preserve"> on the radiological imaging.</w:t>
      </w:r>
      <w:r w:rsidR="00AE6BEE" w:rsidRPr="00322FF2">
        <w:rPr>
          <w:rFonts w:ascii="Times New Roman" w:hAnsi="Times New Roman" w:cs="Times New Roman"/>
          <w:sz w:val="24"/>
          <w:lang w:val="en-US"/>
        </w:rPr>
        <w:t xml:space="preserve"> In </w:t>
      </w:r>
      <w:r w:rsidR="00AE6BEE">
        <w:rPr>
          <w:rFonts w:ascii="Times New Roman" w:hAnsi="Times New Roman" w:cs="Times New Roman"/>
          <w:sz w:val="24"/>
          <w:lang w:val="en-US"/>
        </w:rPr>
        <w:t>our analysis we included two cases with shorter</w:t>
      </w:r>
      <w:r w:rsidR="00AE6BEE" w:rsidRPr="00322FF2">
        <w:rPr>
          <w:rFonts w:ascii="Times New Roman" w:hAnsi="Times New Roman" w:cs="Times New Roman"/>
          <w:sz w:val="24"/>
          <w:lang w:val="en-US"/>
        </w:rPr>
        <w:t xml:space="preserve"> </w:t>
      </w:r>
      <w:r w:rsidR="00FD46CD">
        <w:rPr>
          <w:rFonts w:ascii="Times New Roman" w:hAnsi="Times New Roman" w:cs="Times New Roman"/>
          <w:sz w:val="24"/>
          <w:lang w:val="en-US"/>
        </w:rPr>
        <w:t>RTP time –</w:t>
      </w:r>
      <w:r w:rsidR="00AE6BEE" w:rsidRPr="00322FF2">
        <w:rPr>
          <w:rFonts w:ascii="Times New Roman" w:hAnsi="Times New Roman" w:cs="Times New Roman"/>
          <w:sz w:val="24"/>
          <w:lang w:val="en-US"/>
        </w:rPr>
        <w:t xml:space="preserve"> 6 weeks. However, no side effects </w:t>
      </w:r>
      <w:r w:rsidR="00AE6BEE">
        <w:rPr>
          <w:rFonts w:ascii="Times New Roman" w:hAnsi="Times New Roman" w:cs="Times New Roman"/>
          <w:sz w:val="24"/>
          <w:lang w:val="en-US"/>
        </w:rPr>
        <w:t>occurred after these trials</w:t>
      </w:r>
      <w:r w:rsidR="00AE6BEE" w:rsidRPr="00322FF2">
        <w:rPr>
          <w:rFonts w:ascii="Times New Roman" w:hAnsi="Times New Roman" w:cs="Times New Roman"/>
          <w:sz w:val="24"/>
          <w:lang w:val="en-US"/>
        </w:rPr>
        <w:t>.</w:t>
      </w:r>
      <w:r w:rsidR="00863F0B">
        <w:rPr>
          <w:rFonts w:ascii="Times New Roman" w:hAnsi="Times New Roman" w:cs="Times New Roman"/>
          <w:sz w:val="24"/>
          <w:lang w:val="en-US"/>
        </w:rPr>
        <w:t xml:space="preserve"> </w:t>
      </w:r>
      <w:r w:rsidR="00863F0B" w:rsidRPr="00863F0B">
        <w:rPr>
          <w:rFonts w:ascii="Times New Roman" w:hAnsi="Times New Roman" w:cs="Times New Roman"/>
          <w:sz w:val="24"/>
          <w:lang w:val="en-US"/>
        </w:rPr>
        <w:t>The lack of statistical correlation between fracture and age, weight and height may be due to the homogeneity of the group. All patients are professional players of similar age and body measure.</w:t>
      </w:r>
    </w:p>
    <w:p w14:paraId="366A8DB1" w14:textId="3F41CDB1" w:rsidR="00AE6BEE" w:rsidRPr="00322FF2" w:rsidRDefault="00AE6BEE" w:rsidP="00AE6BEE">
      <w:pPr>
        <w:spacing w:line="360" w:lineRule="auto"/>
        <w:ind w:firstLine="708"/>
        <w:jc w:val="both"/>
        <w:rPr>
          <w:rFonts w:ascii="Times New Roman" w:hAnsi="Times New Roman" w:cs="Times New Roman"/>
          <w:sz w:val="24"/>
          <w:lang w:val="en-US"/>
        </w:rPr>
      </w:pPr>
      <w:r>
        <w:rPr>
          <w:rFonts w:ascii="Times New Roman" w:hAnsi="Times New Roman" w:cs="Times New Roman"/>
          <w:sz w:val="24"/>
          <w:lang w:val="en-US"/>
        </w:rPr>
        <w:t>The goal</w:t>
      </w:r>
      <w:r w:rsidRPr="00322FF2">
        <w:rPr>
          <w:rFonts w:ascii="Times New Roman" w:hAnsi="Times New Roman" w:cs="Times New Roman"/>
          <w:sz w:val="24"/>
          <w:lang w:val="en-US"/>
        </w:rPr>
        <w:t xml:space="preserve"> of surgical treatment is anatomical reconstruction of the bone structure, which allows </w:t>
      </w:r>
      <w:r>
        <w:rPr>
          <w:rFonts w:ascii="Times New Roman" w:hAnsi="Times New Roman" w:cs="Times New Roman"/>
          <w:sz w:val="24"/>
          <w:lang w:val="en-US"/>
        </w:rPr>
        <w:t>to</w:t>
      </w:r>
      <w:r w:rsidRPr="00322FF2">
        <w:rPr>
          <w:rFonts w:ascii="Times New Roman" w:hAnsi="Times New Roman" w:cs="Times New Roman"/>
          <w:sz w:val="24"/>
          <w:lang w:val="en-US"/>
        </w:rPr>
        <w:t xml:space="preserve"> </w:t>
      </w:r>
      <w:r>
        <w:rPr>
          <w:rFonts w:ascii="Times New Roman" w:hAnsi="Times New Roman" w:cs="Times New Roman"/>
          <w:sz w:val="24"/>
          <w:lang w:val="en-US"/>
        </w:rPr>
        <w:t xml:space="preserve">regain </w:t>
      </w:r>
      <w:r w:rsidRPr="00322FF2">
        <w:rPr>
          <w:rFonts w:ascii="Times New Roman" w:hAnsi="Times New Roman" w:cs="Times New Roman"/>
          <w:sz w:val="24"/>
          <w:lang w:val="en-US"/>
        </w:rPr>
        <w:t>correct distribution</w:t>
      </w:r>
      <w:r>
        <w:rPr>
          <w:rFonts w:ascii="Times New Roman" w:hAnsi="Times New Roman" w:cs="Times New Roman"/>
          <w:sz w:val="24"/>
          <w:lang w:val="en-US"/>
        </w:rPr>
        <w:t xml:space="preserve"> of influencing forces and the adequate</w:t>
      </w:r>
      <w:r w:rsidRPr="00322FF2">
        <w:rPr>
          <w:rFonts w:ascii="Times New Roman" w:hAnsi="Times New Roman" w:cs="Times New Roman"/>
          <w:sz w:val="24"/>
          <w:lang w:val="en-US"/>
        </w:rPr>
        <w:t xml:space="preserve"> biomechanics of the entire foot (Kadar</w:t>
      </w:r>
      <w:r>
        <w:rPr>
          <w:rFonts w:ascii="Times New Roman" w:hAnsi="Times New Roman" w:cs="Times New Roman"/>
          <w:sz w:val="24"/>
          <w:lang w:val="en-US"/>
        </w:rPr>
        <w:t xml:space="preserve"> et al. 2015). While deciding for </w:t>
      </w:r>
      <w:r w:rsidRPr="00322FF2">
        <w:rPr>
          <w:rFonts w:ascii="Times New Roman" w:hAnsi="Times New Roman" w:cs="Times New Roman"/>
          <w:sz w:val="24"/>
          <w:lang w:val="en-US"/>
        </w:rPr>
        <w:t xml:space="preserve">surgical treatment, the doctor has a choice </w:t>
      </w:r>
      <w:r>
        <w:rPr>
          <w:rFonts w:ascii="Times New Roman" w:hAnsi="Times New Roman" w:cs="Times New Roman"/>
          <w:sz w:val="24"/>
          <w:lang w:val="en-US"/>
        </w:rPr>
        <w:t>between several techniques</w:t>
      </w:r>
      <w:r w:rsidRPr="00322FF2">
        <w:rPr>
          <w:rFonts w:ascii="Times New Roman" w:hAnsi="Times New Roman" w:cs="Times New Roman"/>
          <w:sz w:val="24"/>
          <w:lang w:val="en-US"/>
        </w:rPr>
        <w:t xml:space="preserve">. They are, among others: </w:t>
      </w:r>
      <w:r w:rsidR="00505B57" w:rsidRPr="00505B57">
        <w:rPr>
          <w:rFonts w:ascii="Times New Roman" w:hAnsi="Times New Roman" w:cs="Times New Roman"/>
          <w:sz w:val="24"/>
          <w:lang w:val="en-US"/>
        </w:rPr>
        <w:t>intramedullary screw fixation, pl</w:t>
      </w:r>
      <w:r w:rsidR="00D12659">
        <w:rPr>
          <w:rFonts w:ascii="Times New Roman" w:hAnsi="Times New Roman" w:cs="Times New Roman"/>
          <w:sz w:val="24"/>
          <w:lang w:val="en-US"/>
        </w:rPr>
        <w:t xml:space="preserve">ate fixation and fixation with </w:t>
      </w:r>
      <w:r w:rsidR="00505B57" w:rsidRPr="00505B57">
        <w:rPr>
          <w:rFonts w:ascii="Times New Roman" w:hAnsi="Times New Roman" w:cs="Times New Roman"/>
          <w:sz w:val="24"/>
          <w:lang w:val="en-US"/>
        </w:rPr>
        <w:t xml:space="preserve">Kirschner wire </w:t>
      </w:r>
      <w:r w:rsidRPr="00322FF2">
        <w:rPr>
          <w:rFonts w:ascii="Times New Roman" w:hAnsi="Times New Roman" w:cs="Times New Roman"/>
          <w:sz w:val="24"/>
          <w:lang w:val="en-US"/>
        </w:rPr>
        <w:t xml:space="preserve">(Huh et al., 2015; Baumfeld et al., 2015). The </w:t>
      </w:r>
      <w:r>
        <w:rPr>
          <w:rFonts w:ascii="Times New Roman" w:hAnsi="Times New Roman" w:cs="Times New Roman"/>
          <w:sz w:val="24"/>
          <w:lang w:val="en-US"/>
        </w:rPr>
        <w:t>role</w:t>
      </w:r>
      <w:r w:rsidRPr="00322FF2">
        <w:rPr>
          <w:rFonts w:ascii="Times New Roman" w:hAnsi="Times New Roman" w:cs="Times New Roman"/>
          <w:sz w:val="24"/>
          <w:lang w:val="en-US"/>
        </w:rPr>
        <w:t xml:space="preserve"> of the fixation is to guarantee the stability of t</w:t>
      </w:r>
      <w:r>
        <w:rPr>
          <w:rFonts w:ascii="Times New Roman" w:hAnsi="Times New Roman" w:cs="Times New Roman"/>
          <w:sz w:val="24"/>
          <w:lang w:val="en-US"/>
        </w:rPr>
        <w:t>he broken bone fragments and lead to transfer of mechanical stress</w:t>
      </w:r>
      <w:r w:rsidRPr="00322FF2">
        <w:rPr>
          <w:rFonts w:ascii="Times New Roman" w:hAnsi="Times New Roman" w:cs="Times New Roman"/>
          <w:sz w:val="24"/>
          <w:lang w:val="en-US"/>
        </w:rPr>
        <w:t xml:space="preserve"> that </w:t>
      </w:r>
      <w:r>
        <w:rPr>
          <w:rFonts w:ascii="Times New Roman" w:hAnsi="Times New Roman" w:cs="Times New Roman"/>
          <w:sz w:val="24"/>
          <w:lang w:val="en-US"/>
        </w:rPr>
        <w:t>would not induce into unification</w:t>
      </w:r>
      <w:r w:rsidRPr="00322FF2">
        <w:rPr>
          <w:rFonts w:ascii="Times New Roman" w:hAnsi="Times New Roman" w:cs="Times New Roman"/>
          <w:sz w:val="24"/>
          <w:lang w:val="en-US"/>
        </w:rPr>
        <w:t xml:space="preserve"> area</w:t>
      </w:r>
      <w:r>
        <w:rPr>
          <w:rFonts w:ascii="Times New Roman" w:hAnsi="Times New Roman" w:cs="Times New Roman"/>
          <w:sz w:val="24"/>
          <w:lang w:val="en-US"/>
        </w:rPr>
        <w:t xml:space="preserve"> deformation</w:t>
      </w:r>
      <w:r w:rsidRPr="00322FF2">
        <w:rPr>
          <w:rFonts w:ascii="Times New Roman" w:hAnsi="Times New Roman" w:cs="Times New Roman"/>
          <w:sz w:val="24"/>
          <w:lang w:val="en-US"/>
        </w:rPr>
        <w:t xml:space="preserve">. (Porter et al. 2009). The most commonly used method of </w:t>
      </w:r>
      <w:r w:rsidR="00F51DE4">
        <w:rPr>
          <w:rFonts w:ascii="Times New Roman" w:hAnsi="Times New Roman" w:cs="Times New Roman"/>
          <w:sz w:val="24"/>
          <w:lang w:val="en-US"/>
        </w:rPr>
        <w:t>fixation</w:t>
      </w:r>
      <w:r w:rsidRPr="00322FF2">
        <w:rPr>
          <w:rFonts w:ascii="Times New Roman" w:hAnsi="Times New Roman" w:cs="Times New Roman"/>
          <w:sz w:val="24"/>
          <w:lang w:val="en-US"/>
        </w:rPr>
        <w:t xml:space="preserve"> is intramedullary screw placement under X-ray </w:t>
      </w:r>
      <w:r w:rsidRPr="00845385">
        <w:rPr>
          <w:rFonts w:ascii="Times New Roman" w:hAnsi="Times New Roman" w:cs="Times New Roman"/>
          <w:sz w:val="24"/>
          <w:lang w:val="en-US"/>
        </w:rPr>
        <w:t xml:space="preserve">control from the proximal </w:t>
      </w:r>
      <w:r>
        <w:rPr>
          <w:rFonts w:ascii="Times New Roman" w:hAnsi="Times New Roman" w:cs="Times New Roman"/>
          <w:sz w:val="24"/>
          <w:lang w:val="en-US"/>
        </w:rPr>
        <w:t>side of the 5</w:t>
      </w:r>
      <w:r w:rsidRPr="00845385">
        <w:rPr>
          <w:rFonts w:ascii="Times New Roman" w:hAnsi="Times New Roman" w:cs="Times New Roman"/>
          <w:sz w:val="24"/>
          <w:vertAlign w:val="superscript"/>
          <w:lang w:val="en-US"/>
        </w:rPr>
        <w:t>th</w:t>
      </w:r>
      <w:r>
        <w:rPr>
          <w:rFonts w:ascii="Times New Roman" w:hAnsi="Times New Roman" w:cs="Times New Roman"/>
          <w:sz w:val="24"/>
          <w:lang w:val="en-US"/>
        </w:rPr>
        <w:t xml:space="preserve"> metatarsal bone towards lateral part. </w:t>
      </w:r>
      <w:r w:rsidRPr="00322FF2">
        <w:rPr>
          <w:rFonts w:ascii="Times New Roman" w:hAnsi="Times New Roman" w:cs="Times New Roman"/>
          <w:sz w:val="24"/>
          <w:lang w:val="en-US"/>
        </w:rPr>
        <w:t xml:space="preserve">This technique </w:t>
      </w:r>
      <w:r>
        <w:rPr>
          <w:rFonts w:ascii="Times New Roman" w:hAnsi="Times New Roman" w:cs="Times New Roman"/>
          <w:sz w:val="24"/>
          <w:lang w:val="en-US"/>
        </w:rPr>
        <w:t>en</w:t>
      </w:r>
      <w:r w:rsidR="00F51DE4">
        <w:rPr>
          <w:rFonts w:ascii="Times New Roman" w:hAnsi="Times New Roman" w:cs="Times New Roman"/>
          <w:sz w:val="24"/>
          <w:lang w:val="en-US"/>
        </w:rPr>
        <w:t>ables</w:t>
      </w:r>
      <w:r w:rsidRPr="00322FF2">
        <w:rPr>
          <w:rFonts w:ascii="Times New Roman" w:hAnsi="Times New Roman" w:cs="Times New Roman"/>
          <w:sz w:val="24"/>
          <w:lang w:val="en-US"/>
        </w:rPr>
        <w:t xml:space="preserve"> the recovery of the</w:t>
      </w:r>
      <w:r>
        <w:rPr>
          <w:rFonts w:ascii="Times New Roman" w:hAnsi="Times New Roman" w:cs="Times New Roman"/>
          <w:sz w:val="24"/>
          <w:lang w:val="en-US"/>
        </w:rPr>
        <w:t xml:space="preserve"> patient’s</w:t>
      </w:r>
      <w:r w:rsidRPr="00322FF2">
        <w:rPr>
          <w:rFonts w:ascii="Times New Roman" w:hAnsi="Times New Roman" w:cs="Times New Roman"/>
          <w:sz w:val="24"/>
          <w:lang w:val="en-US"/>
        </w:rPr>
        <w:t xml:space="preserve"> </w:t>
      </w:r>
      <w:r w:rsidRPr="00152E82">
        <w:rPr>
          <w:rFonts w:ascii="Times New Roman" w:hAnsi="Times New Roman" w:cs="Times New Roman"/>
          <w:sz w:val="24"/>
          <w:lang w:val="en-US"/>
        </w:rPr>
        <w:t xml:space="preserve">gait </w:t>
      </w:r>
      <w:r>
        <w:rPr>
          <w:rFonts w:ascii="Times New Roman" w:hAnsi="Times New Roman" w:cs="Times New Roman"/>
          <w:sz w:val="24"/>
          <w:lang w:val="en-US"/>
        </w:rPr>
        <w:t xml:space="preserve">and </w:t>
      </w:r>
      <w:r w:rsidRPr="00322FF2">
        <w:rPr>
          <w:rFonts w:ascii="Times New Roman" w:hAnsi="Times New Roman" w:cs="Times New Roman"/>
          <w:sz w:val="24"/>
          <w:lang w:val="en-US"/>
        </w:rPr>
        <w:t>ability</w:t>
      </w:r>
      <w:r>
        <w:rPr>
          <w:rFonts w:ascii="Times New Roman" w:hAnsi="Times New Roman" w:cs="Times New Roman"/>
          <w:sz w:val="24"/>
          <w:lang w:val="en-US"/>
        </w:rPr>
        <w:t xml:space="preserve"> to run within a few weeks after</w:t>
      </w:r>
      <w:r w:rsidR="00F51DE4">
        <w:rPr>
          <w:rFonts w:ascii="Times New Roman" w:hAnsi="Times New Roman" w:cs="Times New Roman"/>
          <w:sz w:val="24"/>
          <w:lang w:val="en-US"/>
        </w:rPr>
        <w:t xml:space="preserve"> the fixation</w:t>
      </w:r>
      <w:r w:rsidRPr="00322FF2">
        <w:rPr>
          <w:rFonts w:ascii="Times New Roman" w:hAnsi="Times New Roman" w:cs="Times New Roman"/>
          <w:sz w:val="24"/>
          <w:lang w:val="en-US"/>
        </w:rPr>
        <w:t>. (Bernstein et al., 2018; Duplantier et al., 2018). A less common solution is the method using Kirschner wire</w:t>
      </w:r>
      <w:r>
        <w:rPr>
          <w:rFonts w:ascii="Times New Roman" w:hAnsi="Times New Roman" w:cs="Times New Roman"/>
          <w:sz w:val="24"/>
          <w:lang w:val="en-US"/>
        </w:rPr>
        <w:t xml:space="preserve"> alone, which is the least</w:t>
      </w:r>
      <w:r w:rsidRPr="00322FF2">
        <w:rPr>
          <w:rFonts w:ascii="Times New Roman" w:hAnsi="Times New Roman" w:cs="Times New Roman"/>
          <w:sz w:val="24"/>
          <w:lang w:val="en-US"/>
        </w:rPr>
        <w:t xml:space="preserve"> invasive technique, but at the same time seems to be insufficiently stable in the case of professional athletes (Zwitser and Breederveld 2010). </w:t>
      </w:r>
      <w:r w:rsidR="00DB6560" w:rsidRPr="00DB6560">
        <w:rPr>
          <w:rFonts w:ascii="Times New Roman" w:hAnsi="Times New Roman" w:cs="Times New Roman"/>
          <w:sz w:val="24"/>
          <w:lang w:val="en-US"/>
        </w:rPr>
        <w:t>A plate fixation</w:t>
      </w:r>
      <w:r w:rsidR="00DB6560">
        <w:rPr>
          <w:rFonts w:ascii="Times New Roman" w:hAnsi="Times New Roman" w:cs="Times New Roman"/>
          <w:sz w:val="24"/>
          <w:lang w:val="en-US"/>
        </w:rPr>
        <w:t xml:space="preserve"> </w:t>
      </w:r>
      <w:r w:rsidRPr="00322FF2">
        <w:rPr>
          <w:rFonts w:ascii="Times New Roman" w:hAnsi="Times New Roman" w:cs="Times New Roman"/>
          <w:sz w:val="24"/>
          <w:lang w:val="en-US"/>
        </w:rPr>
        <w:t xml:space="preserve">is characterized by very good endurance and functional performance (Xie et al., 2017; Duplantier et al., 2018). Unfortunately, it is burdened with </w:t>
      </w:r>
      <w:r>
        <w:rPr>
          <w:rFonts w:ascii="Times New Roman" w:hAnsi="Times New Roman" w:cs="Times New Roman"/>
          <w:sz w:val="24"/>
          <w:lang w:val="en-US"/>
        </w:rPr>
        <w:t>drawback</w:t>
      </w:r>
      <w:r w:rsidRPr="00322FF2">
        <w:rPr>
          <w:rFonts w:ascii="Times New Roman" w:hAnsi="Times New Roman" w:cs="Times New Roman"/>
          <w:sz w:val="24"/>
          <w:lang w:val="en-US"/>
        </w:rPr>
        <w:t>s in the form of a relatively large surgical wound (compared to other methods), the related complications of wound infection</w:t>
      </w:r>
      <w:r>
        <w:rPr>
          <w:rFonts w:ascii="Times New Roman" w:hAnsi="Times New Roman" w:cs="Times New Roman"/>
          <w:sz w:val="24"/>
          <w:lang w:val="en-US"/>
        </w:rPr>
        <w:t>s</w:t>
      </w:r>
      <w:r w:rsidRPr="00322FF2">
        <w:rPr>
          <w:rFonts w:ascii="Times New Roman" w:hAnsi="Times New Roman" w:cs="Times New Roman"/>
          <w:sz w:val="24"/>
          <w:lang w:val="en-US"/>
        </w:rPr>
        <w:t xml:space="preserve"> and discomfort caused by protruding elements of the plate and screws </w:t>
      </w:r>
      <w:r>
        <w:rPr>
          <w:rFonts w:ascii="Times New Roman" w:hAnsi="Times New Roman" w:cs="Times New Roman"/>
          <w:sz w:val="24"/>
          <w:lang w:val="en-US"/>
        </w:rPr>
        <w:t xml:space="preserve">are considered as significant flaws as well </w:t>
      </w:r>
      <w:r w:rsidRPr="00322FF2">
        <w:rPr>
          <w:rFonts w:ascii="Times New Roman" w:hAnsi="Times New Roman" w:cs="Times New Roman"/>
          <w:sz w:val="24"/>
          <w:lang w:val="en-US"/>
        </w:rPr>
        <w:t xml:space="preserve">(Xie et al., 2017). The natural evolution of operational methods from more invasive and less stable to </w:t>
      </w:r>
      <w:r>
        <w:rPr>
          <w:rFonts w:ascii="Times New Roman" w:hAnsi="Times New Roman" w:cs="Times New Roman"/>
          <w:sz w:val="24"/>
          <w:lang w:val="en-US"/>
        </w:rPr>
        <w:t>barely invasive and more stable was</w:t>
      </w:r>
      <w:r w:rsidRPr="00322FF2">
        <w:rPr>
          <w:rFonts w:ascii="Times New Roman" w:hAnsi="Times New Roman" w:cs="Times New Roman"/>
          <w:sz w:val="24"/>
          <w:lang w:val="en-US"/>
        </w:rPr>
        <w:t xml:space="preserve"> confirmed by recent reports describing the F.E.R.I. (Fifth metatarsal, Extra-po</w:t>
      </w:r>
      <w:r>
        <w:rPr>
          <w:rFonts w:ascii="Times New Roman" w:hAnsi="Times New Roman" w:cs="Times New Roman"/>
          <w:sz w:val="24"/>
          <w:lang w:val="en-US"/>
        </w:rPr>
        <w:t xml:space="preserve">rtal, Rigid, Innovative). It </w:t>
      </w:r>
      <w:r w:rsidRPr="00322FF2">
        <w:rPr>
          <w:rFonts w:ascii="Times New Roman" w:hAnsi="Times New Roman" w:cs="Times New Roman"/>
          <w:sz w:val="24"/>
          <w:lang w:val="en-US"/>
        </w:rPr>
        <w:t>is a synthesis of a stable intramedullary anastomosis with a safe margin</w:t>
      </w:r>
      <w:r>
        <w:rPr>
          <w:rFonts w:ascii="Times New Roman" w:hAnsi="Times New Roman" w:cs="Times New Roman"/>
          <w:sz w:val="24"/>
          <w:lang w:val="en-US"/>
        </w:rPr>
        <w:t xml:space="preserve"> of its dynamization</w:t>
      </w:r>
      <w:r w:rsidRPr="00322FF2">
        <w:rPr>
          <w:rFonts w:ascii="Times New Roman" w:hAnsi="Times New Roman" w:cs="Times New Roman"/>
          <w:sz w:val="24"/>
          <w:lang w:val="en-US"/>
        </w:rPr>
        <w:t xml:space="preserve">. This </w:t>
      </w:r>
      <w:r w:rsidRPr="00322FF2">
        <w:rPr>
          <w:rFonts w:ascii="Times New Roman" w:hAnsi="Times New Roman" w:cs="Times New Roman"/>
          <w:sz w:val="24"/>
          <w:lang w:val="en-US"/>
        </w:rPr>
        <w:lastRenderedPageBreak/>
        <w:t xml:space="preserve">method seems very promising, but requires </w:t>
      </w:r>
      <w:r>
        <w:rPr>
          <w:rFonts w:ascii="Times New Roman" w:hAnsi="Times New Roman" w:cs="Times New Roman"/>
          <w:sz w:val="24"/>
          <w:lang w:val="en-US"/>
        </w:rPr>
        <w:t>further confirmation</w:t>
      </w:r>
      <w:r w:rsidRPr="00322FF2">
        <w:rPr>
          <w:rFonts w:ascii="Times New Roman" w:hAnsi="Times New Roman" w:cs="Times New Roman"/>
          <w:sz w:val="24"/>
          <w:lang w:val="en-US"/>
        </w:rPr>
        <w:t xml:space="preserve"> of its effectiveness in clinical trials (D'Hooghe et al., 2019). In sports practice, the highest priorities are permanent fusion and comfort of the player's </w:t>
      </w:r>
      <w:r>
        <w:rPr>
          <w:rFonts w:ascii="Times New Roman" w:hAnsi="Times New Roman" w:cs="Times New Roman"/>
          <w:sz w:val="24"/>
          <w:lang w:val="en-US"/>
        </w:rPr>
        <w:t>daily function</w:t>
      </w:r>
      <w:r w:rsidRPr="00322FF2">
        <w:rPr>
          <w:rFonts w:ascii="Times New Roman" w:hAnsi="Times New Roman" w:cs="Times New Roman"/>
          <w:sz w:val="24"/>
          <w:lang w:val="en-US"/>
        </w:rPr>
        <w:t>. It is important that the material does not widen the foot contour, which could cause the i</w:t>
      </w:r>
      <w:r>
        <w:rPr>
          <w:rFonts w:ascii="Times New Roman" w:hAnsi="Times New Roman" w:cs="Times New Roman"/>
          <w:sz w:val="24"/>
          <w:lang w:val="en-US"/>
        </w:rPr>
        <w:t xml:space="preserve">njured site </w:t>
      </w:r>
      <w:r w:rsidRPr="00322FF2">
        <w:rPr>
          <w:rFonts w:ascii="Times New Roman" w:hAnsi="Times New Roman" w:cs="Times New Roman"/>
          <w:sz w:val="24"/>
          <w:lang w:val="en-US"/>
        </w:rPr>
        <w:t xml:space="preserve">to become tender </w:t>
      </w:r>
      <w:r>
        <w:rPr>
          <w:rFonts w:ascii="Times New Roman" w:hAnsi="Times New Roman" w:cs="Times New Roman"/>
          <w:sz w:val="24"/>
          <w:lang w:val="en-US"/>
        </w:rPr>
        <w:t>having</w:t>
      </w:r>
      <w:r w:rsidRPr="00322FF2">
        <w:rPr>
          <w:rFonts w:ascii="Times New Roman" w:hAnsi="Times New Roman" w:cs="Times New Roman"/>
          <w:sz w:val="24"/>
          <w:lang w:val="en-US"/>
        </w:rPr>
        <w:t xml:space="preserve"> sports shoes</w:t>
      </w:r>
      <w:r>
        <w:rPr>
          <w:rFonts w:ascii="Times New Roman" w:hAnsi="Times New Roman" w:cs="Times New Roman"/>
          <w:sz w:val="24"/>
          <w:lang w:val="en-US"/>
        </w:rPr>
        <w:t xml:space="preserve"> on. Hence</w:t>
      </w:r>
      <w:r w:rsidRPr="00322FF2">
        <w:rPr>
          <w:rFonts w:ascii="Times New Roman" w:hAnsi="Times New Roman" w:cs="Times New Roman"/>
          <w:sz w:val="24"/>
          <w:lang w:val="en-US"/>
        </w:rPr>
        <w:t xml:space="preserve"> most methods rely on intramedullary fracture fix</w:t>
      </w:r>
      <w:r>
        <w:rPr>
          <w:rFonts w:ascii="Times New Roman" w:hAnsi="Times New Roman" w:cs="Times New Roman"/>
          <w:sz w:val="24"/>
          <w:lang w:val="en-US"/>
        </w:rPr>
        <w:t>ation (Huh et al., 2016) seem</w:t>
      </w:r>
      <w:r w:rsidRPr="00322FF2">
        <w:rPr>
          <w:rFonts w:ascii="Times New Roman" w:hAnsi="Times New Roman" w:cs="Times New Roman"/>
          <w:sz w:val="24"/>
          <w:lang w:val="en-US"/>
        </w:rPr>
        <w:t xml:space="preserve"> to be the optimal choice among the available methods (Japjec et al., 2015). External fixation methods in the form of plate or </w:t>
      </w:r>
      <w:r w:rsidR="00F448BE">
        <w:rPr>
          <w:rFonts w:ascii="Times New Roman" w:hAnsi="Times New Roman" w:cs="Times New Roman"/>
          <w:sz w:val="24"/>
          <w:lang w:val="en-US"/>
        </w:rPr>
        <w:t>suture cerclage</w:t>
      </w:r>
      <w:r w:rsidRPr="00322FF2">
        <w:rPr>
          <w:rFonts w:ascii="Times New Roman" w:hAnsi="Times New Roman" w:cs="Times New Roman"/>
          <w:sz w:val="24"/>
          <w:lang w:val="en-US"/>
        </w:rPr>
        <w:t xml:space="preserve"> are </w:t>
      </w:r>
      <w:r w:rsidR="00F448BE">
        <w:rPr>
          <w:rFonts w:ascii="Times New Roman" w:hAnsi="Times New Roman" w:cs="Times New Roman"/>
          <w:sz w:val="24"/>
          <w:lang w:val="en-US"/>
        </w:rPr>
        <w:t>not so often common</w:t>
      </w:r>
      <w:r w:rsidRPr="00322FF2">
        <w:rPr>
          <w:rFonts w:ascii="Times New Roman" w:hAnsi="Times New Roman" w:cs="Times New Roman"/>
          <w:sz w:val="24"/>
          <w:lang w:val="en-US"/>
        </w:rPr>
        <w:t xml:space="preserve"> due to mechanical discomfort (Mofidi et al., 2009) (Sarimo et al., 2006) (Huh et al., 2016), especially during dynamic activity ( Granata et al. 2015; Lee et al. 2011).</w:t>
      </w:r>
    </w:p>
    <w:p w14:paraId="082F20FE" w14:textId="63D05EAC" w:rsidR="007448FC" w:rsidRDefault="00AE6BEE" w:rsidP="00AE6BEE">
      <w:pPr>
        <w:spacing w:line="360" w:lineRule="auto"/>
        <w:ind w:firstLine="708"/>
        <w:jc w:val="both"/>
        <w:rPr>
          <w:rFonts w:ascii="Times New Roman" w:hAnsi="Times New Roman" w:cs="Times New Roman"/>
          <w:sz w:val="24"/>
          <w:lang w:val="en-US"/>
        </w:rPr>
      </w:pPr>
      <w:r w:rsidRPr="00322FF2">
        <w:rPr>
          <w:rFonts w:ascii="Times New Roman" w:hAnsi="Times New Roman" w:cs="Times New Roman"/>
          <w:sz w:val="24"/>
          <w:lang w:val="en-US"/>
        </w:rPr>
        <w:t xml:space="preserve">Rehabilitation </w:t>
      </w:r>
      <w:r>
        <w:rPr>
          <w:rFonts w:ascii="Times New Roman" w:hAnsi="Times New Roman" w:cs="Times New Roman"/>
          <w:sz w:val="24"/>
          <w:lang w:val="en-US"/>
        </w:rPr>
        <w:t>plays an important</w:t>
      </w:r>
      <w:r w:rsidRPr="00322FF2">
        <w:rPr>
          <w:rFonts w:ascii="Times New Roman" w:hAnsi="Times New Roman" w:cs="Times New Roman"/>
          <w:sz w:val="24"/>
          <w:lang w:val="en-US"/>
        </w:rPr>
        <w:t xml:space="preserve"> role in the process of returning to sport after a 5th metatarsal fracture. Early fracture stabilization surgery is recommended for athletes, enabling the implementation of an aggressive rehabilitation protocol</w:t>
      </w:r>
      <w:r>
        <w:rPr>
          <w:rFonts w:ascii="Times New Roman" w:hAnsi="Times New Roman" w:cs="Times New Roman"/>
          <w:sz w:val="24"/>
          <w:lang w:val="en-US"/>
        </w:rPr>
        <w:t xml:space="preserve"> as soon as possible</w:t>
      </w:r>
      <w:r w:rsidRPr="00322FF2">
        <w:rPr>
          <w:rFonts w:ascii="Times New Roman" w:hAnsi="Times New Roman" w:cs="Times New Roman"/>
          <w:sz w:val="24"/>
          <w:lang w:val="en-US"/>
        </w:rPr>
        <w:t xml:space="preserve">. Looney et al. (2020) indicated that early limb loading after surgery (from week 2) does not delay fracture healing or </w:t>
      </w:r>
      <w:r>
        <w:rPr>
          <w:rFonts w:ascii="Times New Roman" w:hAnsi="Times New Roman" w:cs="Times New Roman"/>
          <w:sz w:val="24"/>
          <w:lang w:val="en-US"/>
        </w:rPr>
        <w:t>hinder the bone</w:t>
      </w:r>
      <w:r w:rsidRPr="00322FF2">
        <w:rPr>
          <w:rFonts w:ascii="Times New Roman" w:hAnsi="Times New Roman" w:cs="Times New Roman"/>
          <w:sz w:val="24"/>
          <w:lang w:val="en-US"/>
        </w:rPr>
        <w:t xml:space="preserve"> union. As a result, it shortens the time of training absenteeism to a minimum, which is very important </w:t>
      </w:r>
      <w:r w:rsidR="00A006BE">
        <w:rPr>
          <w:rFonts w:ascii="Times New Roman" w:hAnsi="Times New Roman" w:cs="Times New Roman"/>
          <w:sz w:val="24"/>
          <w:lang w:val="en-US"/>
        </w:rPr>
        <w:t xml:space="preserve">for </w:t>
      </w:r>
      <w:r w:rsidR="00A006BE" w:rsidRPr="00A006BE">
        <w:rPr>
          <w:rFonts w:ascii="Times New Roman" w:hAnsi="Times New Roman" w:cs="Times New Roman"/>
          <w:sz w:val="24"/>
          <w:lang w:val="en-US"/>
        </w:rPr>
        <w:t>professional athletes</w:t>
      </w:r>
      <w:r w:rsidRPr="00322FF2">
        <w:rPr>
          <w:rFonts w:ascii="Times New Roman" w:hAnsi="Times New Roman" w:cs="Times New Roman"/>
          <w:sz w:val="24"/>
          <w:lang w:val="en-US"/>
        </w:rPr>
        <w:t xml:space="preserve"> (Looney et al., 2020). A helpful tool recommended in the earl</w:t>
      </w:r>
      <w:r>
        <w:rPr>
          <w:rFonts w:ascii="Times New Roman" w:hAnsi="Times New Roman" w:cs="Times New Roman"/>
          <w:sz w:val="24"/>
          <w:lang w:val="en-US"/>
        </w:rPr>
        <w:t>y stages of rehabilitation is the</w:t>
      </w:r>
      <w:r w:rsidRPr="00322FF2">
        <w:rPr>
          <w:rFonts w:ascii="Times New Roman" w:hAnsi="Times New Roman" w:cs="Times New Roman"/>
          <w:sz w:val="24"/>
          <w:lang w:val="en-US"/>
        </w:rPr>
        <w:t xml:space="preserve"> external bone stimulator (e.g. Exogen), which shortens the time of bone regeneration and remodeling (Nolte et al., 2016; Teoh et al., 2018).</w:t>
      </w:r>
      <w:r w:rsidR="00A006BE" w:rsidRPr="00A006BE">
        <w:t xml:space="preserve"> </w:t>
      </w:r>
      <w:r w:rsidR="00A006BE" w:rsidRPr="00A006BE">
        <w:rPr>
          <w:rFonts w:ascii="Times New Roman" w:hAnsi="Times New Roman" w:cs="Times New Roman"/>
          <w:sz w:val="24"/>
          <w:lang w:val="en-US"/>
        </w:rPr>
        <w:t>The possibility of implementing early conditioning training, gait re-education and subsequent running are possible thanks to the anti-gravity treadmill (Alter G)</w:t>
      </w:r>
      <w:r>
        <w:rPr>
          <w:rFonts w:ascii="Times New Roman" w:hAnsi="Times New Roman" w:cs="Times New Roman"/>
          <w:sz w:val="24"/>
          <w:lang w:val="en-US"/>
        </w:rPr>
        <w:t xml:space="preserve">, which gain more popularity </w:t>
      </w:r>
      <w:r w:rsidRPr="00322FF2">
        <w:rPr>
          <w:rFonts w:ascii="Times New Roman" w:hAnsi="Times New Roman" w:cs="Times New Roman"/>
          <w:sz w:val="24"/>
          <w:lang w:val="en-US"/>
        </w:rPr>
        <w:t xml:space="preserve">in innovative rehabilitation protocols (Thomson et al., 2018). During the last phase of rehabilitation and in the programming of sports training, the player's position on the pitch should be taken into account. According to the researchers' findings, </w:t>
      </w:r>
      <w:r>
        <w:rPr>
          <w:rFonts w:ascii="Times New Roman" w:hAnsi="Times New Roman" w:cs="Times New Roman"/>
          <w:sz w:val="24"/>
          <w:lang w:val="en-US"/>
        </w:rPr>
        <w:t>curved run accumulates bigger forces on the inside foot. P</w:t>
      </w:r>
      <w:r w:rsidRPr="00322FF2">
        <w:rPr>
          <w:rFonts w:ascii="Times New Roman" w:hAnsi="Times New Roman" w:cs="Times New Roman"/>
          <w:sz w:val="24"/>
          <w:lang w:val="en-US"/>
        </w:rPr>
        <w:t>erforming</w:t>
      </w:r>
      <w:r>
        <w:rPr>
          <w:rFonts w:ascii="Times New Roman" w:hAnsi="Times New Roman" w:cs="Times New Roman"/>
          <w:sz w:val="24"/>
          <w:lang w:val="en-US"/>
        </w:rPr>
        <w:t xml:space="preserve"> long pass</w:t>
      </w:r>
      <w:r w:rsidRPr="00322FF2">
        <w:rPr>
          <w:rFonts w:ascii="Times New Roman" w:hAnsi="Times New Roman" w:cs="Times New Roman"/>
          <w:sz w:val="24"/>
          <w:lang w:val="en-US"/>
        </w:rPr>
        <w:t xml:space="preserve"> kicks during the game may significantly increase the loads on the </w:t>
      </w:r>
      <w:r>
        <w:rPr>
          <w:rFonts w:ascii="Times New Roman" w:hAnsi="Times New Roman" w:cs="Times New Roman"/>
          <w:sz w:val="24"/>
          <w:lang w:val="en-US"/>
        </w:rPr>
        <w:t xml:space="preserve">lateral </w:t>
      </w:r>
      <w:r w:rsidRPr="00322FF2">
        <w:rPr>
          <w:rFonts w:ascii="Times New Roman" w:hAnsi="Times New Roman" w:cs="Times New Roman"/>
          <w:sz w:val="24"/>
          <w:lang w:val="en-US"/>
        </w:rPr>
        <w:t xml:space="preserve">side of the foot. The authors </w:t>
      </w:r>
      <w:r>
        <w:rPr>
          <w:rFonts w:ascii="Times New Roman" w:hAnsi="Times New Roman" w:cs="Times New Roman"/>
          <w:sz w:val="24"/>
          <w:lang w:val="en-US"/>
        </w:rPr>
        <w:t>report also that football shoes tend to heighten the loading bear on foots sole</w:t>
      </w:r>
      <w:r w:rsidRPr="00322FF2">
        <w:rPr>
          <w:rFonts w:ascii="Times New Roman" w:hAnsi="Times New Roman" w:cs="Times New Roman"/>
          <w:sz w:val="24"/>
          <w:lang w:val="en-US"/>
        </w:rPr>
        <w:t>. After returning to sport, continuous monitoring of the athlete and appropriate</w:t>
      </w:r>
      <w:r>
        <w:rPr>
          <w:rFonts w:ascii="Times New Roman" w:hAnsi="Times New Roman" w:cs="Times New Roman"/>
          <w:sz w:val="24"/>
          <w:lang w:val="en-US"/>
        </w:rPr>
        <w:t xml:space="preserve"> management of training loads are</w:t>
      </w:r>
      <w:r w:rsidRPr="00322FF2">
        <w:rPr>
          <w:rFonts w:ascii="Times New Roman" w:hAnsi="Times New Roman" w:cs="Times New Roman"/>
          <w:sz w:val="24"/>
          <w:lang w:val="en-US"/>
        </w:rPr>
        <w:t xml:space="preserve"> recommended, and any pain symptoms should be</w:t>
      </w:r>
      <w:r>
        <w:rPr>
          <w:rFonts w:ascii="Times New Roman" w:hAnsi="Times New Roman" w:cs="Times New Roman"/>
          <w:sz w:val="24"/>
          <w:lang w:val="en-US"/>
        </w:rPr>
        <w:t xml:space="preserve"> immediately</w:t>
      </w:r>
      <w:r w:rsidRPr="00322FF2">
        <w:rPr>
          <w:rFonts w:ascii="Times New Roman" w:hAnsi="Times New Roman" w:cs="Times New Roman"/>
          <w:sz w:val="24"/>
          <w:lang w:val="en-US"/>
        </w:rPr>
        <w:t xml:space="preserve"> reported to the medical staff</w:t>
      </w:r>
      <w:r>
        <w:rPr>
          <w:rFonts w:ascii="Times New Roman" w:hAnsi="Times New Roman" w:cs="Times New Roman"/>
          <w:sz w:val="24"/>
          <w:lang w:val="en-US"/>
        </w:rPr>
        <w:t xml:space="preserve"> and never be ignored</w:t>
      </w:r>
      <w:r w:rsidRPr="00322FF2">
        <w:rPr>
          <w:rFonts w:ascii="Times New Roman" w:hAnsi="Times New Roman" w:cs="Times New Roman"/>
          <w:sz w:val="24"/>
          <w:lang w:val="en-US"/>
        </w:rPr>
        <w:t xml:space="preserve"> (Thomson et al., 2018; Kuzuyama et al., 2019).</w:t>
      </w:r>
    </w:p>
    <w:p w14:paraId="41AA4CBA" w14:textId="1DF29149" w:rsidR="00A51EF7" w:rsidRPr="003A4D09" w:rsidRDefault="00EA056D" w:rsidP="003A4D09">
      <w:pPr>
        <w:spacing w:line="360" w:lineRule="auto"/>
        <w:ind w:firstLine="708"/>
        <w:jc w:val="both"/>
        <w:rPr>
          <w:rFonts w:ascii="Times New Roman" w:hAnsi="Times New Roman" w:cs="Times New Roman"/>
          <w:sz w:val="24"/>
          <w:lang w:val="en-US"/>
        </w:rPr>
      </w:pPr>
      <w:r w:rsidRPr="00EA056D">
        <w:rPr>
          <w:rFonts w:ascii="Times New Roman" w:hAnsi="Times New Roman" w:cs="Times New Roman"/>
          <w:b/>
          <w:i/>
          <w:sz w:val="24"/>
          <w:szCs w:val="24"/>
        </w:rPr>
        <w:t>Conclusions:</w:t>
      </w:r>
      <w:r>
        <w:rPr>
          <w:rFonts w:ascii="Times New Roman" w:hAnsi="Times New Roman" w:cs="Times New Roman"/>
          <w:sz w:val="24"/>
          <w:szCs w:val="24"/>
        </w:rPr>
        <w:t xml:space="preserve"> </w:t>
      </w:r>
      <w:r w:rsidRPr="006B400C">
        <w:rPr>
          <w:rFonts w:ascii="Times New Roman" w:hAnsi="Times New Roman" w:cs="Times New Roman"/>
          <w:sz w:val="24"/>
          <w:szCs w:val="24"/>
        </w:rPr>
        <w:t xml:space="preserve">Prompt fracture stabilization surgery is recommended for athletes, enabling the implementation of an aggressive rehabilitation protocol as soon as possible. Early limb loading after surgery (from week 2) does not delay fracture healing or hinder the bone union, thus rehabilitation plays a crucial role in shortening the time of RTP (return to play) and is obligatory for each athlete </w:t>
      </w:r>
      <w:r w:rsidR="003A4D09">
        <w:rPr>
          <w:rFonts w:ascii="Times New Roman" w:hAnsi="Times New Roman" w:cs="Times New Roman"/>
          <w:sz w:val="24"/>
          <w:szCs w:val="24"/>
        </w:rPr>
        <w:t>who undergoes surgical treatmen</w:t>
      </w:r>
      <w:r w:rsidR="00EF0315">
        <w:rPr>
          <w:rFonts w:ascii="Times New Roman" w:hAnsi="Times New Roman" w:cs="Times New Roman"/>
          <w:sz w:val="24"/>
          <w:szCs w:val="24"/>
        </w:rPr>
        <w:t>t.</w:t>
      </w:r>
    </w:p>
    <w:p w14:paraId="1311743D" w14:textId="1067B734" w:rsidR="007448FC" w:rsidRPr="006B400C" w:rsidRDefault="007448FC" w:rsidP="00282695">
      <w:pPr>
        <w:spacing w:line="360" w:lineRule="auto"/>
        <w:ind w:firstLine="708"/>
        <w:jc w:val="both"/>
        <w:rPr>
          <w:rFonts w:ascii="Times New Roman" w:hAnsi="Times New Roman" w:cs="Times New Roman"/>
          <w:b/>
          <w:sz w:val="24"/>
          <w:lang w:val="en-US"/>
        </w:rPr>
      </w:pPr>
      <w:r w:rsidRPr="006B400C">
        <w:rPr>
          <w:rFonts w:ascii="Times New Roman" w:hAnsi="Times New Roman" w:cs="Times New Roman"/>
          <w:b/>
          <w:sz w:val="24"/>
          <w:lang w:val="en-US"/>
        </w:rPr>
        <w:lastRenderedPageBreak/>
        <w:t>REFERENCES</w:t>
      </w:r>
    </w:p>
    <w:p w14:paraId="1FA4F1F9" w14:textId="77777777" w:rsidR="007448FC" w:rsidRPr="00322FF2" w:rsidRDefault="007448FC" w:rsidP="007448FC">
      <w:pPr>
        <w:spacing w:line="360" w:lineRule="auto"/>
        <w:jc w:val="both"/>
        <w:rPr>
          <w:rFonts w:ascii="Times New Roman" w:hAnsi="Times New Roman" w:cs="Times New Roman"/>
          <w:sz w:val="24"/>
          <w:szCs w:val="24"/>
          <w:shd w:val="clear" w:color="auto" w:fill="FFFFFF"/>
          <w:lang w:val="en-US"/>
        </w:rPr>
      </w:pPr>
      <w:r w:rsidRPr="00322FF2">
        <w:rPr>
          <w:rFonts w:ascii="Times New Roman" w:hAnsi="Times New Roman" w:cs="Times New Roman"/>
          <w:sz w:val="24"/>
          <w:szCs w:val="24"/>
          <w:shd w:val="clear" w:color="auto" w:fill="FFFFFF"/>
          <w:lang w:val="en-US"/>
        </w:rPr>
        <w:t>Battaglia PJ, Kaeser MA, Kettner NW. Diagnosis and serial sonography of a proximal fifth metatarsal stress fracture. J Chiropr Med, 2013; 12(3): 196-200.</w:t>
      </w:r>
    </w:p>
    <w:p w14:paraId="15E39E93" w14:textId="77777777" w:rsidR="007448FC" w:rsidRPr="00322FF2" w:rsidRDefault="007448FC" w:rsidP="007448FC">
      <w:pPr>
        <w:spacing w:line="360" w:lineRule="auto"/>
        <w:jc w:val="both"/>
        <w:rPr>
          <w:rFonts w:ascii="Times New Roman" w:hAnsi="Times New Roman" w:cs="Times New Roman"/>
          <w:sz w:val="32"/>
          <w:szCs w:val="24"/>
          <w:shd w:val="clear" w:color="auto" w:fill="FFFFFF"/>
          <w:lang w:val="en-US"/>
        </w:rPr>
      </w:pPr>
      <w:r w:rsidRPr="00322FF2">
        <w:rPr>
          <w:rFonts w:ascii="Times New Roman" w:hAnsi="Times New Roman" w:cs="Times New Roman"/>
          <w:color w:val="303030"/>
          <w:sz w:val="24"/>
          <w:szCs w:val="20"/>
          <w:shd w:val="clear" w:color="auto" w:fill="FFFFFF"/>
          <w:lang w:val="en-US"/>
        </w:rPr>
        <w:t>Baumbach SF, Prall WC, Kramer M, Braunstein M, Böcker W, Polzer H. Functional treatment for fractures to the base of the 5th metatarsal - influence of fracture location and fracture characteristics. BMC Musculoskelet Disord, 2017; 18(1): 534.</w:t>
      </w:r>
    </w:p>
    <w:p w14:paraId="58471AF5" w14:textId="77777777" w:rsidR="007448FC" w:rsidRPr="00322FF2" w:rsidRDefault="007448FC" w:rsidP="007448FC">
      <w:pPr>
        <w:spacing w:line="360" w:lineRule="auto"/>
        <w:jc w:val="both"/>
        <w:rPr>
          <w:rFonts w:ascii="Times New Roman" w:hAnsi="Times New Roman" w:cs="Times New Roman"/>
          <w:sz w:val="24"/>
          <w:szCs w:val="24"/>
          <w:shd w:val="clear" w:color="auto" w:fill="FFFFFF"/>
          <w:lang w:val="en-US"/>
        </w:rPr>
      </w:pPr>
      <w:r w:rsidRPr="00322FF2">
        <w:rPr>
          <w:rFonts w:ascii="Times New Roman" w:hAnsi="Times New Roman" w:cs="Times New Roman"/>
          <w:sz w:val="24"/>
          <w:szCs w:val="24"/>
          <w:shd w:val="clear" w:color="auto" w:fill="FFFFFF"/>
          <w:lang w:val="en-US"/>
        </w:rPr>
        <w:t>Baumfeld D, Macedo BD, Nery C, Esper LE, Filho MA. Anterograde precutaneous treatment of lasser metatarsal fractures: technical description and clinical results. Rev Bras Ortop, 2015; 47(6): 760-4.</w:t>
      </w:r>
    </w:p>
    <w:p w14:paraId="3AE213A1" w14:textId="77777777" w:rsidR="007448FC" w:rsidRPr="00322FF2" w:rsidRDefault="007448FC" w:rsidP="007448FC">
      <w:pPr>
        <w:spacing w:line="360" w:lineRule="auto"/>
        <w:jc w:val="both"/>
        <w:rPr>
          <w:rFonts w:ascii="Times New Roman" w:hAnsi="Times New Roman" w:cs="Times New Roman"/>
          <w:sz w:val="24"/>
          <w:szCs w:val="24"/>
          <w:shd w:val="clear" w:color="auto" w:fill="FFFFFF"/>
          <w:lang w:val="en-US"/>
        </w:rPr>
      </w:pPr>
      <w:r w:rsidRPr="00322FF2">
        <w:rPr>
          <w:rFonts w:ascii="Times New Roman" w:hAnsi="Times New Roman" w:cs="Times New Roman"/>
          <w:sz w:val="24"/>
          <w:szCs w:val="24"/>
          <w:shd w:val="clear" w:color="auto" w:fill="FFFFFF"/>
          <w:lang w:val="en-US"/>
        </w:rPr>
        <w:t>Bernstein DT, Mitchell RJ, McCulloch PC, Harris JD, Varner KE. Treatment of Proximal Fifth Metatarsal Fractures and Refractures With Plantar Plating in Elite Athletes. Foot Ankle Int, 2018; 39(12): 1410-1415.</w:t>
      </w:r>
    </w:p>
    <w:p w14:paraId="0E17CD2D" w14:textId="77777777" w:rsidR="007448FC" w:rsidRPr="0027264E" w:rsidRDefault="007448FC" w:rsidP="007448FC">
      <w:pPr>
        <w:shd w:val="clear" w:color="auto" w:fill="FFFFFF"/>
        <w:spacing w:before="100" w:beforeAutospacing="1" w:after="120" w:line="360" w:lineRule="auto"/>
        <w:jc w:val="both"/>
        <w:rPr>
          <w:rFonts w:ascii="Times New Roman" w:eastAsia="Times New Roman" w:hAnsi="Times New Roman" w:cs="Times New Roman"/>
          <w:sz w:val="24"/>
          <w:szCs w:val="24"/>
          <w:lang w:eastAsia="pl-PL"/>
        </w:rPr>
      </w:pPr>
      <w:r w:rsidRPr="00322FF2">
        <w:rPr>
          <w:rFonts w:ascii="Times New Roman" w:hAnsi="Times New Roman" w:cs="Times New Roman"/>
          <w:sz w:val="24"/>
          <w:szCs w:val="24"/>
          <w:shd w:val="clear" w:color="auto" w:fill="FFFFFF"/>
          <w:lang w:val="en-US"/>
        </w:rPr>
        <w:t xml:space="preserve">Boraczyński M, Boraczyński T, Podstawski R, Wójcik Z, Gronek P. Relationships Between Measures of Functional and Isometric Lower Body Strength, Aerobic Capacity, Anaerobic Power, Sprint and Countermovement Jump Performance in Professional Soccer Players. </w:t>
      </w:r>
      <w:r w:rsidRPr="0027264E">
        <w:rPr>
          <w:rFonts w:ascii="Times New Roman" w:hAnsi="Times New Roman" w:cs="Times New Roman"/>
          <w:sz w:val="24"/>
          <w:szCs w:val="24"/>
          <w:shd w:val="clear" w:color="auto" w:fill="FFFFFF"/>
        </w:rPr>
        <w:t xml:space="preserve">J. Hum. Kinet, 2020; </w:t>
      </w:r>
      <w:r w:rsidRPr="0027264E">
        <w:rPr>
          <w:rFonts w:ascii="Times New Roman" w:eastAsia="Times New Roman" w:hAnsi="Times New Roman" w:cs="Times New Roman"/>
          <w:sz w:val="24"/>
          <w:szCs w:val="24"/>
          <w:lang w:eastAsia="pl-PL"/>
        </w:rPr>
        <w:t>75(4):161-175.</w:t>
      </w:r>
    </w:p>
    <w:p w14:paraId="4226E7FA" w14:textId="77777777" w:rsidR="007448FC" w:rsidRPr="00322FF2" w:rsidRDefault="007448FC" w:rsidP="007448FC">
      <w:pPr>
        <w:spacing w:line="360" w:lineRule="auto"/>
        <w:jc w:val="both"/>
        <w:rPr>
          <w:rFonts w:ascii="Times New Roman" w:hAnsi="Times New Roman" w:cs="Times New Roman"/>
          <w:sz w:val="24"/>
          <w:szCs w:val="24"/>
          <w:shd w:val="clear" w:color="auto" w:fill="FFFFFF"/>
          <w:lang w:val="en-US"/>
        </w:rPr>
      </w:pPr>
      <w:r w:rsidRPr="00322FF2">
        <w:rPr>
          <w:rFonts w:ascii="Times New Roman" w:hAnsi="Times New Roman" w:cs="Times New Roman"/>
          <w:sz w:val="24"/>
          <w:szCs w:val="24"/>
          <w:shd w:val="clear" w:color="auto" w:fill="FFFFFF"/>
          <w:lang w:val="en-US"/>
        </w:rPr>
        <w:t>Bowes J, Buckley R. Fifth metatarsal fractures and current treatment. </w:t>
      </w:r>
      <w:r w:rsidRPr="00322FF2">
        <w:rPr>
          <w:rFonts w:ascii="Times New Roman" w:hAnsi="Times New Roman" w:cs="Times New Roman"/>
          <w:iCs/>
          <w:sz w:val="24"/>
          <w:szCs w:val="24"/>
          <w:shd w:val="clear" w:color="auto" w:fill="FFFFFF"/>
          <w:lang w:val="en-US"/>
        </w:rPr>
        <w:t>World J Orthop</w:t>
      </w:r>
      <w:r w:rsidRPr="00322FF2">
        <w:rPr>
          <w:rFonts w:ascii="Times New Roman" w:hAnsi="Times New Roman" w:cs="Times New Roman"/>
          <w:sz w:val="24"/>
          <w:szCs w:val="24"/>
          <w:shd w:val="clear" w:color="auto" w:fill="FFFFFF"/>
          <w:lang w:val="en-US"/>
        </w:rPr>
        <w:t>, 2016; 7(12): 793-800.</w:t>
      </w:r>
    </w:p>
    <w:p w14:paraId="699E373D" w14:textId="77777777" w:rsidR="007448FC" w:rsidRPr="00322FF2" w:rsidRDefault="007448FC" w:rsidP="007448FC">
      <w:pPr>
        <w:spacing w:line="360" w:lineRule="auto"/>
        <w:jc w:val="both"/>
        <w:rPr>
          <w:rFonts w:ascii="Times New Roman" w:hAnsi="Times New Roman" w:cs="Times New Roman"/>
          <w:sz w:val="24"/>
          <w:szCs w:val="24"/>
          <w:shd w:val="clear" w:color="auto" w:fill="FFFFFF"/>
          <w:lang w:val="en-US"/>
        </w:rPr>
      </w:pPr>
      <w:r w:rsidRPr="00322FF2">
        <w:rPr>
          <w:rFonts w:ascii="Times New Roman" w:hAnsi="Times New Roman" w:cs="Times New Roman"/>
          <w:sz w:val="24"/>
          <w:szCs w:val="24"/>
          <w:shd w:val="clear" w:color="auto" w:fill="FFFFFF"/>
          <w:lang w:val="en-US"/>
        </w:rPr>
        <w:t>D'Hooghe P, Caravelli S, Massimi S, Calder J, Dzendrowskyj P, Zaffagnini S. A novel method for internal fixation of basal fifth metatarsal fracture in athletes: a cadaveric study of the F.E.R.I. technique (Fifth metatarsal, Extra-portal, Rigid, Innovative). J Exp Orthop, 2019; 6(1): 45.</w:t>
      </w:r>
    </w:p>
    <w:p w14:paraId="75B9FBB2" w14:textId="77777777" w:rsidR="007448FC" w:rsidRPr="00322FF2" w:rsidRDefault="007448FC" w:rsidP="007448FC">
      <w:pPr>
        <w:spacing w:line="360" w:lineRule="auto"/>
        <w:jc w:val="both"/>
        <w:rPr>
          <w:rFonts w:ascii="Times New Roman" w:hAnsi="Times New Roman" w:cs="Times New Roman"/>
          <w:sz w:val="24"/>
          <w:szCs w:val="24"/>
          <w:shd w:val="clear" w:color="auto" w:fill="FFFFFF"/>
          <w:lang w:val="en-US"/>
        </w:rPr>
      </w:pPr>
      <w:r w:rsidRPr="00322FF2">
        <w:rPr>
          <w:rFonts w:ascii="Times New Roman" w:hAnsi="Times New Roman" w:cs="Times New Roman"/>
          <w:sz w:val="24"/>
          <w:szCs w:val="24"/>
          <w:shd w:val="clear" w:color="auto" w:fill="FFFFFF"/>
          <w:lang w:val="en-US"/>
        </w:rPr>
        <w:t>Duplantier NL, Mitchell RJ, Zambrano S, Stone AC, Delgado DA, Lambert BS, Moreno MR, Harris JD, McCulloch PC, Lintner DM, Varner KE. A Biomechanical Comparison of Fifth Metatarsal Jones Fracture Fixation Methods. Am J Sports Med, 2018; 46(5): 1220-1227.</w:t>
      </w:r>
    </w:p>
    <w:p w14:paraId="7AF9C203" w14:textId="77777777" w:rsidR="007448FC" w:rsidRPr="00322FF2" w:rsidRDefault="007448FC" w:rsidP="007448FC">
      <w:pPr>
        <w:spacing w:line="360" w:lineRule="auto"/>
        <w:jc w:val="both"/>
        <w:rPr>
          <w:rFonts w:ascii="Times New Roman" w:hAnsi="Times New Roman" w:cs="Times New Roman"/>
          <w:sz w:val="24"/>
          <w:szCs w:val="24"/>
          <w:shd w:val="clear" w:color="auto" w:fill="FFFFFF"/>
          <w:lang w:val="en-US"/>
        </w:rPr>
      </w:pPr>
      <w:r w:rsidRPr="00322FF2">
        <w:rPr>
          <w:rFonts w:ascii="Times New Roman" w:hAnsi="Times New Roman" w:cs="Times New Roman"/>
          <w:sz w:val="24"/>
          <w:szCs w:val="24"/>
          <w:shd w:val="clear" w:color="auto" w:fill="FFFFFF"/>
          <w:lang w:val="en-US"/>
        </w:rPr>
        <w:t>Granata JD, Berlet GC, Philbin TM, Jones G, Kaeding CC, Peterson KS. Failed Surgical Management of Acute Proximal Fifth Metatarsal (Jones) Fractures: A Retrospective Case Series and Literature Review. Foot Ankle Spec, 2015; 8(6): 454-459.</w:t>
      </w:r>
    </w:p>
    <w:p w14:paraId="5A94F216" w14:textId="77777777" w:rsidR="007448FC" w:rsidRPr="00322FF2" w:rsidRDefault="007448FC" w:rsidP="007448FC">
      <w:pPr>
        <w:spacing w:line="360" w:lineRule="auto"/>
        <w:jc w:val="both"/>
        <w:rPr>
          <w:rFonts w:ascii="Times New Roman" w:hAnsi="Times New Roman" w:cs="Times New Roman"/>
          <w:sz w:val="28"/>
          <w:szCs w:val="24"/>
          <w:lang w:val="en-US"/>
        </w:rPr>
      </w:pPr>
      <w:r w:rsidRPr="00322FF2">
        <w:rPr>
          <w:rFonts w:ascii="Times New Roman" w:hAnsi="Times New Roman" w:cs="Times New Roman"/>
          <w:sz w:val="24"/>
          <w:shd w:val="clear" w:color="auto" w:fill="FFFFFF"/>
          <w:lang w:val="en-US"/>
        </w:rPr>
        <w:t>Hong CC, Nag K, Yeow H, Lin AZ, Tan KJ. Suture Anchor Fixation for Fifth Metatarsal Tuberosity Avulsion Fractures: A Case Series and Review of Literature. J Foot Ankle Surg, 2018; 57(5): 1030-1033.</w:t>
      </w:r>
    </w:p>
    <w:p w14:paraId="1F181FB8" w14:textId="75640212" w:rsidR="007448FC" w:rsidRPr="00322FF2" w:rsidRDefault="007448FC" w:rsidP="007448FC">
      <w:pPr>
        <w:shd w:val="clear" w:color="auto" w:fill="FFFFFF"/>
        <w:spacing w:line="360" w:lineRule="auto"/>
        <w:jc w:val="both"/>
        <w:rPr>
          <w:rFonts w:ascii="Times New Roman" w:hAnsi="Times New Roman" w:cs="Times New Roman"/>
          <w:sz w:val="24"/>
          <w:szCs w:val="24"/>
          <w:lang w:val="en-US"/>
        </w:rPr>
      </w:pPr>
      <w:r w:rsidRPr="00322FF2">
        <w:rPr>
          <w:rFonts w:ascii="Times New Roman" w:hAnsi="Times New Roman" w:cs="Times New Roman"/>
          <w:sz w:val="24"/>
          <w:szCs w:val="24"/>
          <w:lang w:val="en-US"/>
        </w:rPr>
        <w:lastRenderedPageBreak/>
        <w:t>Huh J, Glisson RR, Matsumoto T, Easley ME. Biomechanical Comparison of Intramedullary Screw Versus Low-Profile Plate Fixation of a Jones Fracture. </w:t>
      </w:r>
      <w:r w:rsidRPr="00322FF2">
        <w:rPr>
          <w:rFonts w:ascii="Times New Roman" w:hAnsi="Times New Roman" w:cs="Times New Roman"/>
          <w:iCs/>
          <w:sz w:val="24"/>
          <w:szCs w:val="24"/>
          <w:lang w:val="en-US"/>
        </w:rPr>
        <w:t>Foot</w:t>
      </w:r>
      <w:r w:rsidR="00D12659">
        <w:rPr>
          <w:rFonts w:ascii="Times New Roman" w:hAnsi="Times New Roman" w:cs="Times New Roman"/>
          <w:iCs/>
          <w:sz w:val="24"/>
          <w:szCs w:val="24"/>
          <w:lang w:val="en-US"/>
        </w:rPr>
        <w:t xml:space="preserve"> </w:t>
      </w:r>
      <w:r w:rsidRPr="00322FF2">
        <w:rPr>
          <w:rFonts w:ascii="Times New Roman" w:hAnsi="Times New Roman" w:cs="Times New Roman"/>
          <w:iCs/>
          <w:sz w:val="24"/>
          <w:szCs w:val="24"/>
          <w:lang w:val="en-US"/>
        </w:rPr>
        <w:t>Ankle Int</w:t>
      </w:r>
      <w:r w:rsidRPr="00322FF2">
        <w:rPr>
          <w:rFonts w:ascii="Times New Roman" w:hAnsi="Times New Roman" w:cs="Times New Roman"/>
          <w:sz w:val="24"/>
          <w:szCs w:val="24"/>
          <w:lang w:val="en-US"/>
        </w:rPr>
        <w:t>, 2016; 37(4): 411-418.</w:t>
      </w:r>
    </w:p>
    <w:p w14:paraId="7B8594A1" w14:textId="77777777" w:rsidR="007448FC" w:rsidRPr="00322FF2" w:rsidRDefault="007448FC" w:rsidP="007448FC">
      <w:pPr>
        <w:shd w:val="clear" w:color="auto" w:fill="FFFFFF"/>
        <w:spacing w:line="360" w:lineRule="auto"/>
        <w:jc w:val="both"/>
        <w:rPr>
          <w:rFonts w:ascii="Times New Roman" w:hAnsi="Times New Roman" w:cs="Times New Roman"/>
          <w:sz w:val="24"/>
          <w:szCs w:val="24"/>
          <w:shd w:val="clear" w:color="auto" w:fill="FFFFFF"/>
          <w:lang w:val="en-US"/>
        </w:rPr>
      </w:pPr>
      <w:r w:rsidRPr="00322FF2">
        <w:rPr>
          <w:rFonts w:ascii="Times New Roman" w:hAnsi="Times New Roman" w:cs="Times New Roman"/>
          <w:sz w:val="24"/>
          <w:szCs w:val="24"/>
          <w:shd w:val="clear" w:color="auto" w:fill="FFFFFF"/>
          <w:lang w:val="en-US"/>
        </w:rPr>
        <w:t>Japjec M, Starešinić M, Starjački M, Žgaljardić I, Štivičić J, Šebečić B. Treatment of proximal fifth metatarsal bone fractures in athletes. Injury, 2015; 46(6): 134-136.</w:t>
      </w:r>
    </w:p>
    <w:p w14:paraId="4EA3ECEF" w14:textId="77777777" w:rsidR="007448FC" w:rsidRPr="00322FF2" w:rsidRDefault="007448FC" w:rsidP="007448FC">
      <w:pPr>
        <w:shd w:val="clear" w:color="auto" w:fill="FFFFFF"/>
        <w:spacing w:line="360" w:lineRule="auto"/>
        <w:jc w:val="both"/>
        <w:rPr>
          <w:rFonts w:ascii="Times New Roman" w:hAnsi="Times New Roman" w:cs="Times New Roman"/>
          <w:iCs/>
          <w:sz w:val="24"/>
          <w:szCs w:val="24"/>
          <w:shd w:val="clear" w:color="auto" w:fill="FFFFFF"/>
          <w:lang w:val="en-US"/>
        </w:rPr>
      </w:pPr>
      <w:r w:rsidRPr="00322FF2">
        <w:rPr>
          <w:rFonts w:ascii="Times New Roman" w:hAnsi="Times New Roman" w:cs="Times New Roman"/>
          <w:sz w:val="24"/>
          <w:szCs w:val="24"/>
          <w:shd w:val="clear" w:color="auto" w:fill="FFFFFF"/>
          <w:lang w:val="en-US"/>
        </w:rPr>
        <w:t xml:space="preserve">Kadar A, Ankory R, Karpf R, Luger E, Elias S. </w:t>
      </w:r>
      <w:r w:rsidRPr="00322FF2">
        <w:rPr>
          <w:rFonts w:ascii="Times New Roman" w:hAnsi="Times New Roman" w:cs="Times New Roman"/>
          <w:iCs/>
          <w:sz w:val="24"/>
          <w:szCs w:val="24"/>
          <w:shd w:val="clear" w:color="auto" w:fill="FFFFFF"/>
          <w:lang w:val="en-US"/>
        </w:rPr>
        <w:t>Plate Fixation of Proximal Fifth Metatarsal Fracture.</w:t>
      </w:r>
      <w:r w:rsidRPr="00322FF2">
        <w:rPr>
          <w:rFonts w:ascii="Times New Roman" w:hAnsi="Times New Roman" w:cs="Times New Roman"/>
          <w:sz w:val="24"/>
          <w:szCs w:val="24"/>
          <w:shd w:val="clear" w:color="auto" w:fill="FFFFFF"/>
          <w:lang w:val="en-US"/>
        </w:rPr>
        <w:t xml:space="preserve"> J Am Podiatr Med Assoc</w:t>
      </w:r>
      <w:r w:rsidRPr="00322FF2">
        <w:rPr>
          <w:rFonts w:ascii="Times New Roman" w:hAnsi="Times New Roman" w:cs="Times New Roman"/>
          <w:iCs/>
          <w:sz w:val="24"/>
          <w:szCs w:val="24"/>
          <w:shd w:val="clear" w:color="auto" w:fill="FFFFFF"/>
          <w:lang w:val="en-US"/>
        </w:rPr>
        <w:t>,2015; 105(5): 389–394.</w:t>
      </w:r>
    </w:p>
    <w:p w14:paraId="01C55DD3" w14:textId="77777777" w:rsidR="007448FC" w:rsidRPr="00322FF2" w:rsidRDefault="007448FC" w:rsidP="007448FC">
      <w:pPr>
        <w:shd w:val="clear" w:color="auto" w:fill="FFFFFF"/>
        <w:spacing w:line="360" w:lineRule="auto"/>
        <w:jc w:val="both"/>
        <w:rPr>
          <w:rStyle w:val="Hipercze"/>
          <w:rFonts w:ascii="Times New Roman" w:hAnsi="Times New Roman" w:cs="Times New Roman"/>
          <w:color w:val="auto"/>
          <w:sz w:val="24"/>
          <w:szCs w:val="24"/>
          <w:u w:val="none"/>
          <w:lang w:val="en-US"/>
        </w:rPr>
      </w:pPr>
      <w:r w:rsidRPr="00322FF2">
        <w:rPr>
          <w:rFonts w:ascii="Times New Roman" w:hAnsi="Times New Roman" w:cs="Times New Roman"/>
          <w:sz w:val="24"/>
          <w:szCs w:val="24"/>
          <w:shd w:val="clear" w:color="auto" w:fill="FFFFFF"/>
          <w:lang w:val="en-US"/>
        </w:rPr>
        <w:t>Kuzuyama M, Perrier J, Kusaki Y, Sato K, Yamaura I, Tsuchiya A. Characteristics of plantar pressure distribution in elite male soccer players with or without history of proximal fifth metatarsal fracture: a case-control study. J Phys Ther Sci, 2019; 31(7): 530-535.</w:t>
      </w:r>
    </w:p>
    <w:p w14:paraId="0BAD28B2" w14:textId="77777777" w:rsidR="007448FC" w:rsidRPr="000F75B9" w:rsidRDefault="007448FC" w:rsidP="007448FC">
      <w:pPr>
        <w:shd w:val="clear" w:color="auto" w:fill="FFFFFF"/>
        <w:spacing w:line="360" w:lineRule="auto"/>
        <w:jc w:val="both"/>
        <w:rPr>
          <w:rFonts w:ascii="Times New Roman" w:hAnsi="Times New Roman" w:cs="Times New Roman"/>
          <w:sz w:val="24"/>
          <w:szCs w:val="24"/>
          <w:shd w:val="clear" w:color="auto" w:fill="FFFFFF"/>
        </w:rPr>
      </w:pPr>
      <w:r w:rsidRPr="00322FF2">
        <w:rPr>
          <w:rFonts w:ascii="Times New Roman" w:hAnsi="Times New Roman" w:cs="Times New Roman"/>
          <w:sz w:val="24"/>
          <w:szCs w:val="24"/>
          <w:shd w:val="clear" w:color="auto" w:fill="FFFFFF"/>
          <w:lang w:val="en-US"/>
        </w:rPr>
        <w:t xml:space="preserve">Lawrence SJ, Botte MJ. Jones' fractures and related fractures of the proximal fifth metatarsal. </w:t>
      </w:r>
      <w:r w:rsidRPr="000F75B9">
        <w:rPr>
          <w:rFonts w:ascii="Times New Roman" w:hAnsi="Times New Roman" w:cs="Times New Roman"/>
          <w:sz w:val="24"/>
          <w:szCs w:val="24"/>
          <w:shd w:val="clear" w:color="auto" w:fill="FFFFFF"/>
        </w:rPr>
        <w:t>Foot Ankle, 1993; 14(6): 358-65.</w:t>
      </w:r>
    </w:p>
    <w:p w14:paraId="0CFEDB42" w14:textId="77777777" w:rsidR="007448FC" w:rsidRPr="00322FF2" w:rsidRDefault="007448FC" w:rsidP="007448FC">
      <w:pPr>
        <w:shd w:val="clear" w:color="auto" w:fill="FFFFFF"/>
        <w:spacing w:line="360" w:lineRule="auto"/>
        <w:jc w:val="both"/>
        <w:rPr>
          <w:rFonts w:ascii="Times New Roman" w:hAnsi="Times New Roman" w:cs="Times New Roman"/>
          <w:sz w:val="24"/>
          <w:szCs w:val="24"/>
          <w:shd w:val="clear" w:color="auto" w:fill="FFFFFF"/>
          <w:lang w:val="en-US"/>
        </w:rPr>
      </w:pPr>
      <w:r w:rsidRPr="000F75B9">
        <w:rPr>
          <w:rFonts w:ascii="Times New Roman" w:hAnsi="Times New Roman" w:cs="Times New Roman"/>
          <w:sz w:val="24"/>
          <w:szCs w:val="24"/>
          <w:shd w:val="clear" w:color="auto" w:fill="FFFFFF"/>
        </w:rPr>
        <w:t xml:space="preserve">Lee KT, Park YU, Young KW, Kim JS, Kim JB. </w:t>
      </w:r>
      <w:r w:rsidRPr="00322FF2">
        <w:rPr>
          <w:rFonts w:ascii="Times New Roman" w:hAnsi="Times New Roman" w:cs="Times New Roman"/>
          <w:sz w:val="24"/>
          <w:szCs w:val="24"/>
          <w:shd w:val="clear" w:color="auto" w:fill="FFFFFF"/>
          <w:lang w:val="en-US"/>
        </w:rPr>
        <w:t>Surgical results of 5th metatarsal stress fracture using modified tension band wiring. Knee Surg Sports Traumatol Arthrosc, 2011; 19(5): 853-857.</w:t>
      </w:r>
    </w:p>
    <w:p w14:paraId="282E2BFD" w14:textId="77777777" w:rsidR="007448FC" w:rsidRPr="00322FF2" w:rsidRDefault="007448FC" w:rsidP="007448FC">
      <w:pPr>
        <w:pStyle w:val="NormalnyWeb"/>
        <w:shd w:val="clear" w:color="auto" w:fill="FFFFFF"/>
        <w:spacing w:before="0" w:beforeAutospacing="0" w:after="300" w:afterAutospacing="0" w:line="360" w:lineRule="auto"/>
        <w:jc w:val="both"/>
        <w:rPr>
          <w:iCs/>
          <w:shd w:val="clear" w:color="auto" w:fill="FFFFFF"/>
          <w:lang w:val="en-US"/>
        </w:rPr>
      </w:pPr>
      <w:r w:rsidRPr="00322FF2">
        <w:rPr>
          <w:shd w:val="clear" w:color="auto" w:fill="FFFFFF"/>
          <w:lang w:val="en-US"/>
        </w:rPr>
        <w:t>Looney AM, Renehan JR, Dean DM, Murthy A, Sanders TH, Neufeld SK, Cuttica DJ. Rate of Delayed Union With Early Weightbearing Following Intramedullary Screw Fixation of Jones Fractures. </w:t>
      </w:r>
      <w:r w:rsidRPr="00322FF2">
        <w:rPr>
          <w:iCs/>
          <w:shd w:val="clear" w:color="auto" w:fill="FFFFFF"/>
          <w:lang w:val="en-US"/>
        </w:rPr>
        <w:t>Foot &amp; Ankle International</w:t>
      </w:r>
      <w:r w:rsidRPr="00322FF2">
        <w:rPr>
          <w:shd w:val="clear" w:color="auto" w:fill="FFFFFF"/>
          <w:lang w:val="en-US"/>
        </w:rPr>
        <w:t xml:space="preserve">, 2020; </w:t>
      </w:r>
      <w:r w:rsidRPr="00322FF2">
        <w:rPr>
          <w:iCs/>
          <w:shd w:val="clear" w:color="auto" w:fill="FFFFFF"/>
          <w:lang w:val="en-US"/>
        </w:rPr>
        <w:t>107110072093831.</w:t>
      </w:r>
    </w:p>
    <w:p w14:paraId="0E5A5C43" w14:textId="77777777" w:rsidR="007448FC" w:rsidRPr="00892EAE" w:rsidRDefault="007448FC" w:rsidP="007448FC">
      <w:pPr>
        <w:pStyle w:val="NormalnyWeb"/>
        <w:shd w:val="clear" w:color="auto" w:fill="FFFFFF"/>
        <w:spacing w:before="0" w:beforeAutospacing="0" w:after="300" w:afterAutospacing="0" w:line="360" w:lineRule="auto"/>
        <w:jc w:val="both"/>
      </w:pPr>
      <w:r w:rsidRPr="00322FF2">
        <w:rPr>
          <w:shd w:val="clear" w:color="auto" w:fill="FFFFFF"/>
          <w:lang w:val="en-US"/>
        </w:rPr>
        <w:t xml:space="preserve">Mayer SW, Joyner PW, Almekinders LC, Parekh SG. Stress fractures of the foot and ankle in athletes. </w:t>
      </w:r>
      <w:r w:rsidRPr="00892EAE">
        <w:rPr>
          <w:shd w:val="clear" w:color="auto" w:fill="FFFFFF"/>
        </w:rPr>
        <w:t>Sports Health. 2014; 6(6): 481-491.</w:t>
      </w:r>
    </w:p>
    <w:p w14:paraId="3B9230A2" w14:textId="77777777" w:rsidR="007448FC" w:rsidRPr="00892EAE" w:rsidRDefault="007448FC" w:rsidP="007448FC">
      <w:pPr>
        <w:spacing w:line="360" w:lineRule="auto"/>
        <w:jc w:val="both"/>
        <w:rPr>
          <w:rFonts w:ascii="Times New Roman" w:hAnsi="Times New Roman" w:cs="Times New Roman"/>
          <w:sz w:val="24"/>
          <w:szCs w:val="24"/>
          <w:shd w:val="clear" w:color="auto" w:fill="FFFFFF"/>
          <w:lang w:val="en-US"/>
        </w:rPr>
      </w:pPr>
      <w:r w:rsidRPr="00892EAE">
        <w:rPr>
          <w:rFonts w:ascii="Times New Roman" w:hAnsi="Times New Roman" w:cs="Times New Roman"/>
          <w:sz w:val="24"/>
          <w:szCs w:val="24"/>
          <w:shd w:val="clear" w:color="auto" w:fill="FFFFFF"/>
          <w:lang w:val="en-US"/>
        </w:rPr>
        <w:t>Miller D, Marsland D, Jones M, Calder J. Early return to playing professional football following fixation of 5th metatarsal stress fractures may lead to delayed union but does not increase the risk of long-term non-union. Knee Surg Sports Traumatol Arthrosc, 2019; 27(9): 2796–2801.</w:t>
      </w:r>
    </w:p>
    <w:p w14:paraId="72609CD4" w14:textId="77777777" w:rsidR="007448FC" w:rsidRPr="000F75B9" w:rsidRDefault="007448FC" w:rsidP="007448FC">
      <w:pPr>
        <w:spacing w:line="360" w:lineRule="auto"/>
        <w:jc w:val="both"/>
        <w:rPr>
          <w:rFonts w:ascii="Times New Roman" w:hAnsi="Times New Roman" w:cs="Times New Roman"/>
          <w:sz w:val="24"/>
          <w:szCs w:val="24"/>
          <w:shd w:val="clear" w:color="auto" w:fill="FFFFFF"/>
          <w:lang w:val="en-US"/>
        </w:rPr>
      </w:pPr>
      <w:r w:rsidRPr="000F75B9">
        <w:rPr>
          <w:rFonts w:ascii="Times New Roman" w:hAnsi="Times New Roman" w:cs="Times New Roman"/>
          <w:sz w:val="24"/>
          <w:szCs w:val="24"/>
          <w:shd w:val="clear" w:color="auto" w:fill="FFFFFF"/>
          <w:lang w:val="en-US"/>
        </w:rPr>
        <w:t>Miyamori T, Nagao M, Sawa R, Tumilty S, Yoshimura M, Saita Y, Ikeda H, Kaneko K. Playing football on artificial turf as a risk factor for fifth metatarsal stress fracture: a retrospective cohort study. BMJ Open, 2019; 9(2): e022864.</w:t>
      </w:r>
    </w:p>
    <w:p w14:paraId="7F6D5305" w14:textId="77777777" w:rsidR="007448FC" w:rsidRPr="00322FF2" w:rsidRDefault="007448FC" w:rsidP="007448FC">
      <w:pPr>
        <w:spacing w:line="360" w:lineRule="auto"/>
        <w:jc w:val="both"/>
        <w:rPr>
          <w:rFonts w:ascii="Times New Roman" w:hAnsi="Times New Roman" w:cs="Times New Roman"/>
          <w:sz w:val="24"/>
          <w:szCs w:val="24"/>
          <w:shd w:val="clear" w:color="auto" w:fill="FFFFFF"/>
          <w:lang w:val="en-US"/>
        </w:rPr>
      </w:pPr>
      <w:r w:rsidRPr="00322FF2">
        <w:rPr>
          <w:rFonts w:ascii="Times New Roman" w:hAnsi="Times New Roman" w:cs="Times New Roman"/>
          <w:sz w:val="24"/>
          <w:szCs w:val="24"/>
          <w:shd w:val="clear" w:color="auto" w:fill="FFFFFF"/>
          <w:lang w:val="en-US"/>
        </w:rPr>
        <w:t>Mofidi A, Hamer P, Thomas RH, Hemmadi SS. Stress fracture of the fifth metatarsal base caused by tension band wiring: an isolated case report. Foot Ankle Spec, 2009; 2(2): 79-82.</w:t>
      </w:r>
    </w:p>
    <w:p w14:paraId="2016D723" w14:textId="77777777" w:rsidR="007448FC" w:rsidRPr="00322FF2" w:rsidRDefault="007448FC" w:rsidP="007448FC">
      <w:pPr>
        <w:spacing w:line="360" w:lineRule="auto"/>
        <w:jc w:val="both"/>
        <w:rPr>
          <w:rFonts w:ascii="Times New Roman" w:hAnsi="Times New Roman" w:cs="Times New Roman"/>
          <w:sz w:val="28"/>
          <w:szCs w:val="24"/>
          <w:shd w:val="clear" w:color="auto" w:fill="FFFFFF"/>
          <w:lang w:val="en-US"/>
        </w:rPr>
      </w:pPr>
      <w:r w:rsidRPr="00322FF2">
        <w:rPr>
          <w:rFonts w:ascii="Times New Roman" w:hAnsi="Times New Roman" w:cs="Times New Roman"/>
          <w:color w:val="212121"/>
          <w:sz w:val="24"/>
          <w:shd w:val="clear" w:color="auto" w:fill="FFFFFF"/>
          <w:lang w:val="en-US"/>
        </w:rPr>
        <w:lastRenderedPageBreak/>
        <w:t>Nolte P, Anderson R, Strauss E, Wang Z, Hu L, Xu Z, Steen RG. Heal rate of metatarsal fractures: A propensity-matching study of patients treated with low-intensity pulsed ultrasound (LIPUS) vs. surgical and other treatments. Injury, 2016; 47(11): 2584-2590.</w:t>
      </w:r>
    </w:p>
    <w:p w14:paraId="274817FB" w14:textId="77777777" w:rsidR="007448FC" w:rsidRPr="000F75B9" w:rsidRDefault="007448FC" w:rsidP="007448FC">
      <w:pPr>
        <w:spacing w:line="360" w:lineRule="auto"/>
        <w:jc w:val="both"/>
        <w:rPr>
          <w:rFonts w:ascii="Times New Roman" w:hAnsi="Times New Roman" w:cs="Times New Roman"/>
          <w:sz w:val="24"/>
          <w:szCs w:val="24"/>
          <w:lang w:val="en-US"/>
        </w:rPr>
      </w:pPr>
      <w:r w:rsidRPr="000F75B9">
        <w:rPr>
          <w:rFonts w:ascii="Times New Roman" w:hAnsi="Times New Roman" w:cs="Times New Roman"/>
          <w:sz w:val="24"/>
          <w:szCs w:val="24"/>
          <w:lang w:val="en-US"/>
        </w:rPr>
        <w:t>Pecina M, Bojanic I, Smoljanovic T, Ivkovic A, Mirkovic M, Jelic M. Surgical treatment of diaphyseal stress fractures of the fifth metatarsal in competitive athletes: long-term follow-up and computerized pedobarographic analysis. J Am Podiatr Med Assoc, 2011; 101(6): 517-22.</w:t>
      </w:r>
    </w:p>
    <w:p w14:paraId="13CCCFDA" w14:textId="77777777" w:rsidR="007448FC" w:rsidRPr="000F75B9" w:rsidRDefault="007448FC" w:rsidP="007448FC">
      <w:pPr>
        <w:spacing w:line="360" w:lineRule="auto"/>
        <w:jc w:val="both"/>
        <w:rPr>
          <w:rStyle w:val="element-citation"/>
          <w:rFonts w:ascii="Times New Roman" w:hAnsi="Times New Roman" w:cs="Times New Roman"/>
          <w:sz w:val="24"/>
          <w:szCs w:val="24"/>
          <w:shd w:val="clear" w:color="auto" w:fill="FFFFFF"/>
          <w:lang w:val="en-US"/>
        </w:rPr>
      </w:pPr>
      <w:r w:rsidRPr="00322FF2">
        <w:rPr>
          <w:rFonts w:ascii="Times New Roman" w:hAnsi="Times New Roman" w:cs="Times New Roman"/>
          <w:sz w:val="24"/>
          <w:szCs w:val="24"/>
          <w:shd w:val="clear" w:color="auto" w:fill="FFFFFF"/>
          <w:lang w:val="en-US"/>
        </w:rPr>
        <w:t xml:space="preserve">Porter DA, Rund AM, Dobslaw R, Duncan M. Comparison of 4.5- and 5.5-mm cannulated stainless steel screws for fifth metatarsal Jones fracture fixation. Foot Ankle Int, 2009 ;30(1): 27-33. </w:t>
      </w:r>
    </w:p>
    <w:p w14:paraId="334EA59A" w14:textId="77777777" w:rsidR="007448FC" w:rsidRPr="000F75B9" w:rsidRDefault="007448FC" w:rsidP="007448FC">
      <w:pPr>
        <w:spacing w:line="360" w:lineRule="auto"/>
        <w:jc w:val="both"/>
        <w:rPr>
          <w:rFonts w:ascii="Times New Roman" w:hAnsi="Times New Roman" w:cs="Times New Roman"/>
          <w:sz w:val="24"/>
          <w:szCs w:val="24"/>
          <w:shd w:val="clear" w:color="auto" w:fill="FFFFFF"/>
          <w:lang w:val="en-US"/>
        </w:rPr>
      </w:pPr>
      <w:r w:rsidRPr="000F75B9">
        <w:rPr>
          <w:rStyle w:val="element-citation"/>
          <w:rFonts w:ascii="Times New Roman" w:hAnsi="Times New Roman" w:cs="Times New Roman"/>
          <w:sz w:val="24"/>
          <w:szCs w:val="24"/>
          <w:shd w:val="clear" w:color="auto" w:fill="FFFFFF"/>
          <w:lang w:val="en-US"/>
        </w:rPr>
        <w:t xml:space="preserve">N, Ratigan B. The association of a varus hindfoot and fracture of the fifth metatarsal metaphyseal-diaphyseal junction. </w:t>
      </w:r>
      <w:r w:rsidRPr="000F75B9">
        <w:rPr>
          <w:rStyle w:val="Uwydatnienie"/>
          <w:rFonts w:ascii="Times New Roman" w:hAnsi="Times New Roman" w:cs="Times New Roman"/>
          <w:sz w:val="24"/>
          <w:szCs w:val="24"/>
          <w:shd w:val="clear" w:color="auto" w:fill="FFFFFF"/>
          <w:lang w:val="en-US"/>
        </w:rPr>
        <w:t>Am J Sport Med,</w:t>
      </w:r>
      <w:r w:rsidRPr="000F75B9">
        <w:rPr>
          <w:rStyle w:val="ref-journal"/>
          <w:rFonts w:ascii="Times New Roman" w:hAnsi="Times New Roman" w:cs="Times New Roman"/>
          <w:sz w:val="24"/>
          <w:szCs w:val="24"/>
          <w:shd w:val="clear" w:color="auto" w:fill="FFFFFF"/>
          <w:lang w:val="en-US"/>
        </w:rPr>
        <w:t> </w:t>
      </w:r>
      <w:r w:rsidRPr="000F75B9">
        <w:rPr>
          <w:rStyle w:val="element-citation"/>
          <w:rFonts w:ascii="Times New Roman" w:hAnsi="Times New Roman" w:cs="Times New Roman"/>
          <w:sz w:val="24"/>
          <w:szCs w:val="24"/>
          <w:shd w:val="clear" w:color="auto" w:fill="FFFFFF"/>
          <w:lang w:val="en-US"/>
        </w:rPr>
        <w:t xml:space="preserve">2008; </w:t>
      </w:r>
      <w:r w:rsidRPr="000F75B9">
        <w:rPr>
          <w:rStyle w:val="ref-vol"/>
          <w:rFonts w:ascii="Times New Roman" w:hAnsi="Times New Roman" w:cs="Times New Roman"/>
          <w:sz w:val="24"/>
          <w:szCs w:val="24"/>
          <w:shd w:val="clear" w:color="auto" w:fill="FFFFFF"/>
          <w:lang w:val="en-US"/>
        </w:rPr>
        <w:t>36</w:t>
      </w:r>
      <w:r w:rsidRPr="000F75B9">
        <w:rPr>
          <w:rStyle w:val="element-citation"/>
          <w:rFonts w:ascii="Times New Roman" w:hAnsi="Times New Roman" w:cs="Times New Roman"/>
          <w:sz w:val="24"/>
          <w:szCs w:val="24"/>
          <w:shd w:val="clear" w:color="auto" w:fill="FFFFFF"/>
          <w:lang w:val="en-US"/>
        </w:rPr>
        <w:t>(7): 1367–1372.</w:t>
      </w:r>
    </w:p>
    <w:p w14:paraId="6B33E2C1" w14:textId="77777777" w:rsidR="007448FC" w:rsidRPr="000F75B9" w:rsidRDefault="007448FC" w:rsidP="007448FC">
      <w:pPr>
        <w:spacing w:line="360" w:lineRule="auto"/>
        <w:jc w:val="both"/>
        <w:rPr>
          <w:rStyle w:val="element-citation"/>
          <w:rFonts w:ascii="Times New Roman" w:hAnsi="Times New Roman" w:cs="Times New Roman"/>
          <w:sz w:val="24"/>
          <w:szCs w:val="24"/>
          <w:shd w:val="clear" w:color="auto" w:fill="FFFFFF"/>
          <w:lang w:val="en-US"/>
        </w:rPr>
      </w:pPr>
      <w:r w:rsidRPr="000F75B9">
        <w:rPr>
          <w:rStyle w:val="element-citation"/>
          <w:rFonts w:ascii="Times New Roman" w:hAnsi="Times New Roman" w:cs="Times New Roman"/>
          <w:sz w:val="24"/>
          <w:szCs w:val="24"/>
          <w:shd w:val="clear" w:color="auto" w:fill="FFFFFF"/>
          <w:lang w:val="en-US"/>
        </w:rPr>
        <w:t>Saita Y, Nagao M, Kawasaki T, Kobayashi Y, Kobayashi K, Nakajima H, Takazawa Y, Kaneko K, Ikeda H. Range limitation in hip internal rotation and fifth metatarsal stress fractures (Jones fracture) in professional football players. </w:t>
      </w:r>
      <w:r w:rsidRPr="000F75B9">
        <w:rPr>
          <w:rStyle w:val="Uwydatnienie"/>
          <w:rFonts w:ascii="Times New Roman" w:hAnsi="Times New Roman" w:cs="Times New Roman"/>
          <w:sz w:val="24"/>
          <w:szCs w:val="24"/>
          <w:shd w:val="clear" w:color="auto" w:fill="FFFFFF"/>
          <w:lang w:val="en-US"/>
        </w:rPr>
        <w:t>Knee Sur Spors Traumatol Arthrosc</w:t>
      </w:r>
      <w:r w:rsidRPr="000F75B9">
        <w:rPr>
          <w:rStyle w:val="ref-journal"/>
          <w:rFonts w:ascii="Times New Roman" w:hAnsi="Times New Roman" w:cs="Times New Roman"/>
          <w:sz w:val="24"/>
          <w:szCs w:val="24"/>
          <w:shd w:val="clear" w:color="auto" w:fill="FFFFFF"/>
          <w:lang w:val="en-US"/>
        </w:rPr>
        <w:t>, </w:t>
      </w:r>
      <w:r w:rsidRPr="000F75B9">
        <w:rPr>
          <w:rStyle w:val="element-citation"/>
          <w:rFonts w:ascii="Times New Roman" w:hAnsi="Times New Roman" w:cs="Times New Roman"/>
          <w:sz w:val="24"/>
          <w:szCs w:val="24"/>
          <w:shd w:val="clear" w:color="auto" w:fill="FFFFFF"/>
          <w:lang w:val="en-US"/>
        </w:rPr>
        <w:t xml:space="preserve">2018; </w:t>
      </w:r>
      <w:r w:rsidRPr="000F75B9">
        <w:rPr>
          <w:rStyle w:val="ref-vol"/>
          <w:rFonts w:ascii="Times New Roman" w:hAnsi="Times New Roman" w:cs="Times New Roman"/>
          <w:sz w:val="24"/>
          <w:szCs w:val="24"/>
          <w:shd w:val="clear" w:color="auto" w:fill="FFFFFF"/>
          <w:lang w:val="en-US"/>
        </w:rPr>
        <w:t>26</w:t>
      </w:r>
      <w:r w:rsidRPr="000F75B9">
        <w:rPr>
          <w:rStyle w:val="element-citation"/>
          <w:rFonts w:ascii="Times New Roman" w:hAnsi="Times New Roman" w:cs="Times New Roman"/>
          <w:sz w:val="24"/>
          <w:szCs w:val="24"/>
          <w:shd w:val="clear" w:color="auto" w:fill="FFFFFF"/>
          <w:lang w:val="en-US"/>
        </w:rPr>
        <w:t>(7): 1943–1949.</w:t>
      </w:r>
    </w:p>
    <w:p w14:paraId="408EEFD6" w14:textId="77777777" w:rsidR="007448FC" w:rsidRPr="00322FF2" w:rsidRDefault="007448FC" w:rsidP="007448FC">
      <w:pPr>
        <w:spacing w:line="360" w:lineRule="auto"/>
        <w:jc w:val="both"/>
        <w:rPr>
          <w:rFonts w:ascii="Times New Roman" w:hAnsi="Times New Roman" w:cs="Times New Roman"/>
          <w:sz w:val="24"/>
          <w:szCs w:val="24"/>
          <w:shd w:val="clear" w:color="auto" w:fill="FFFFFF"/>
          <w:lang w:val="en-US"/>
        </w:rPr>
      </w:pPr>
      <w:r w:rsidRPr="00322FF2">
        <w:rPr>
          <w:rFonts w:ascii="Times New Roman" w:hAnsi="Times New Roman" w:cs="Times New Roman"/>
          <w:sz w:val="24"/>
          <w:szCs w:val="24"/>
          <w:shd w:val="clear" w:color="auto" w:fill="FFFFFF"/>
          <w:lang w:val="en-US"/>
        </w:rPr>
        <w:t>Sarimo J, Rantanen J, Orava S, Alanen J. Tension-band wiring for fractures of the fifth metatarsal located in the junction of the proximal metaphysis and diaphysis. Am J Sports Med, 2006; 34(3): 476-480.</w:t>
      </w:r>
    </w:p>
    <w:p w14:paraId="4693C9F8" w14:textId="77777777" w:rsidR="007448FC" w:rsidRPr="000F75B9" w:rsidRDefault="007448FC" w:rsidP="007448FC">
      <w:pPr>
        <w:spacing w:line="360" w:lineRule="auto"/>
        <w:jc w:val="both"/>
        <w:rPr>
          <w:rStyle w:val="element-citation"/>
          <w:rFonts w:ascii="Times New Roman" w:hAnsi="Times New Roman" w:cs="Times New Roman"/>
          <w:sz w:val="24"/>
          <w:szCs w:val="24"/>
          <w:shd w:val="clear" w:color="auto" w:fill="FFFFFF"/>
          <w:lang w:val="en-US"/>
        </w:rPr>
      </w:pPr>
      <w:r w:rsidRPr="00322FF2">
        <w:rPr>
          <w:rFonts w:ascii="Times New Roman" w:hAnsi="Times New Roman" w:cs="Times New Roman"/>
          <w:sz w:val="24"/>
          <w:szCs w:val="24"/>
          <w:shd w:val="clear" w:color="auto" w:fill="FFFFFF"/>
          <w:lang w:val="en-US"/>
        </w:rPr>
        <w:t>Teoh KH, Whitham R, Wong JF, Hariharan K. </w:t>
      </w:r>
      <w:r w:rsidRPr="00322FF2">
        <w:rPr>
          <w:rFonts w:ascii="Times New Roman" w:hAnsi="Times New Roman" w:cs="Times New Roman"/>
          <w:iCs/>
          <w:sz w:val="24"/>
          <w:szCs w:val="24"/>
          <w:shd w:val="clear" w:color="auto" w:fill="FFFFFF"/>
          <w:lang w:val="en-US"/>
        </w:rPr>
        <w:t>The use of low-intensity pulsed ultrasound in treating delayed union of fifth metatarsal fractures. The Foot, 2018; 35: 52–55.</w:t>
      </w:r>
    </w:p>
    <w:p w14:paraId="2EB81825" w14:textId="77777777" w:rsidR="007448FC" w:rsidRPr="00322FF2" w:rsidRDefault="007448FC" w:rsidP="007448FC">
      <w:pPr>
        <w:spacing w:line="360" w:lineRule="auto"/>
        <w:jc w:val="both"/>
        <w:rPr>
          <w:rFonts w:ascii="Times New Roman" w:hAnsi="Times New Roman" w:cs="Times New Roman"/>
          <w:sz w:val="24"/>
          <w:szCs w:val="24"/>
          <w:shd w:val="clear" w:color="auto" w:fill="FFFFFF"/>
          <w:lang w:val="en-US"/>
        </w:rPr>
      </w:pPr>
      <w:r w:rsidRPr="00322FF2">
        <w:rPr>
          <w:rFonts w:ascii="Times New Roman" w:hAnsi="Times New Roman" w:cs="Times New Roman"/>
          <w:sz w:val="24"/>
          <w:szCs w:val="24"/>
          <w:shd w:val="clear" w:color="auto" w:fill="FFFFFF"/>
          <w:lang w:val="en-US"/>
        </w:rPr>
        <w:t>Thomson A, Akenhead R, Whiteley R, D'Hooghe P, Van Alsenoy K, Bleakley C. Fifth metatarsal stress fracture in elite male football players: an on-field analysis of plantar loading. BMJ Open Sport Exerc Med, 2018; 4(1): e000377.</w:t>
      </w:r>
    </w:p>
    <w:p w14:paraId="6783103E" w14:textId="77777777" w:rsidR="007448FC" w:rsidRPr="00322FF2" w:rsidRDefault="007448FC" w:rsidP="007448FC">
      <w:pPr>
        <w:spacing w:line="360" w:lineRule="auto"/>
        <w:jc w:val="both"/>
        <w:rPr>
          <w:rStyle w:val="element-citation"/>
          <w:rFonts w:ascii="Times New Roman" w:hAnsi="Times New Roman" w:cs="Times New Roman"/>
          <w:sz w:val="24"/>
          <w:szCs w:val="24"/>
          <w:shd w:val="clear" w:color="auto" w:fill="FFFFFF"/>
          <w:lang w:val="en-US"/>
        </w:rPr>
      </w:pPr>
      <w:r w:rsidRPr="00322FF2">
        <w:rPr>
          <w:rFonts w:ascii="Times New Roman" w:hAnsi="Times New Roman" w:cs="Times New Roman"/>
          <w:sz w:val="24"/>
          <w:szCs w:val="24"/>
          <w:shd w:val="clear" w:color="auto" w:fill="FFFFFF"/>
          <w:lang w:val="en-US"/>
        </w:rPr>
        <w:t>Valkier C, Fallat LM, Jarski R. Conservative Versus Surgical Management of Fifth Metatarsal Avulsion Fractures. J Foot Ankle Surg, 2020; 59(5): 988-992.</w:t>
      </w:r>
    </w:p>
    <w:p w14:paraId="2A12FB55" w14:textId="77777777" w:rsidR="007448FC" w:rsidRPr="00322FF2" w:rsidRDefault="007448FC" w:rsidP="007448FC">
      <w:pPr>
        <w:spacing w:line="360" w:lineRule="auto"/>
        <w:jc w:val="both"/>
        <w:rPr>
          <w:rFonts w:ascii="Times New Roman" w:hAnsi="Times New Roman" w:cs="Times New Roman"/>
          <w:sz w:val="24"/>
          <w:szCs w:val="24"/>
          <w:shd w:val="clear" w:color="auto" w:fill="FFFFFF"/>
          <w:lang w:val="en-US"/>
        </w:rPr>
      </w:pPr>
      <w:r w:rsidRPr="00322FF2">
        <w:rPr>
          <w:rFonts w:ascii="Times New Roman" w:hAnsi="Times New Roman" w:cs="Times New Roman"/>
          <w:sz w:val="24"/>
          <w:szCs w:val="24"/>
          <w:shd w:val="clear" w:color="auto" w:fill="FFFFFF"/>
          <w:lang w:val="en-US"/>
        </w:rPr>
        <w:t>Wang Y, Gan X, Li K, Ma T, Zhang Y. Comparison of operative and non-operative management of fifth metatarsal base fracture: A meta-analysis. PLoS One, 2020; 15(8): e0237151.</w:t>
      </w:r>
    </w:p>
    <w:p w14:paraId="3540B96E" w14:textId="77777777" w:rsidR="007448FC" w:rsidRPr="00322FF2" w:rsidRDefault="007448FC" w:rsidP="007448FC">
      <w:pPr>
        <w:spacing w:line="360" w:lineRule="auto"/>
        <w:jc w:val="both"/>
        <w:rPr>
          <w:rFonts w:ascii="Times New Roman" w:hAnsi="Times New Roman" w:cs="Times New Roman"/>
          <w:sz w:val="24"/>
          <w:szCs w:val="24"/>
          <w:shd w:val="clear" w:color="auto" w:fill="FFFFFF"/>
          <w:lang w:val="en-US"/>
        </w:rPr>
      </w:pPr>
      <w:r w:rsidRPr="00322FF2">
        <w:rPr>
          <w:rFonts w:ascii="Times New Roman" w:hAnsi="Times New Roman" w:cs="Times New Roman"/>
          <w:sz w:val="24"/>
          <w:szCs w:val="24"/>
          <w:shd w:val="clear" w:color="auto" w:fill="FFFFFF"/>
          <w:lang w:val="en-US"/>
        </w:rPr>
        <w:lastRenderedPageBreak/>
        <w:t>Wu G-B, Li B, Yang Y-F. Comparative study of surgical and conservative treatments for fifth metatarsal base avulsion fractures (type I) in young adults or athletes. J Orthop Surg Res, 2018; 26(1): 230949901774712.</w:t>
      </w:r>
    </w:p>
    <w:p w14:paraId="0F168ABA" w14:textId="77777777" w:rsidR="007448FC" w:rsidRPr="00322FF2" w:rsidRDefault="007448FC" w:rsidP="007448FC">
      <w:pPr>
        <w:spacing w:line="360" w:lineRule="auto"/>
        <w:jc w:val="both"/>
        <w:rPr>
          <w:rFonts w:ascii="Times New Roman" w:hAnsi="Times New Roman" w:cs="Times New Roman"/>
          <w:sz w:val="24"/>
          <w:szCs w:val="24"/>
          <w:shd w:val="clear" w:color="auto" w:fill="FFFFFF"/>
          <w:lang w:val="en-US"/>
        </w:rPr>
      </w:pPr>
      <w:r w:rsidRPr="00322FF2">
        <w:rPr>
          <w:rFonts w:ascii="Times New Roman" w:hAnsi="Times New Roman" w:cs="Times New Roman"/>
          <w:sz w:val="24"/>
          <w:szCs w:val="24"/>
          <w:shd w:val="clear" w:color="auto" w:fill="FFFFFF"/>
          <w:lang w:val="en-US"/>
        </w:rPr>
        <w:t>Xie L, Guo X, Zhang SJ, Fang ZH. Locking compression plate distal ulna hook plate fixation versus intramedullary screw fixation for displaced avulsion fifth Metatarsal Base fractures: a comparative retrospective cohort study. BMC Musculoskelet Disord, 2017; 18(1): 405.</w:t>
      </w:r>
    </w:p>
    <w:p w14:paraId="6ED4CC45" w14:textId="77777777" w:rsidR="007448FC" w:rsidRPr="00322FF2" w:rsidRDefault="007448FC" w:rsidP="007448FC">
      <w:pPr>
        <w:spacing w:line="360" w:lineRule="auto"/>
        <w:jc w:val="both"/>
        <w:rPr>
          <w:rFonts w:ascii="Times New Roman" w:hAnsi="Times New Roman" w:cs="Times New Roman"/>
          <w:sz w:val="24"/>
          <w:szCs w:val="24"/>
          <w:shd w:val="clear" w:color="auto" w:fill="FFFFFF"/>
          <w:lang w:val="en-US"/>
        </w:rPr>
      </w:pPr>
      <w:r w:rsidRPr="00322FF2">
        <w:rPr>
          <w:rFonts w:ascii="Times New Roman" w:hAnsi="Times New Roman" w:cs="Times New Roman"/>
          <w:sz w:val="24"/>
          <w:szCs w:val="24"/>
          <w:shd w:val="clear" w:color="auto" w:fill="FFFFFF"/>
          <w:lang w:val="en-US"/>
        </w:rPr>
        <w:t>Yates J, Feeley I, Sasikumar S, Rattan G, Hannigan A, Sheehan E. Jones fracture of the fifth metatarsal: Is operative intervention justified? A systematic review of the literature and meta-analysis of results. Foot (Edinb), 2015; 25(4): 251-257.</w:t>
      </w:r>
    </w:p>
    <w:p w14:paraId="74AD76F0" w14:textId="77777777" w:rsidR="007448FC" w:rsidRDefault="007448FC" w:rsidP="007448FC">
      <w:pPr>
        <w:spacing w:line="360" w:lineRule="auto"/>
        <w:jc w:val="both"/>
        <w:rPr>
          <w:rFonts w:ascii="Times New Roman" w:hAnsi="Times New Roman" w:cs="Times New Roman"/>
          <w:sz w:val="24"/>
          <w:szCs w:val="24"/>
          <w:shd w:val="clear" w:color="auto" w:fill="FFFFFF"/>
        </w:rPr>
      </w:pPr>
      <w:r w:rsidRPr="00322FF2">
        <w:rPr>
          <w:rFonts w:ascii="Times New Roman" w:hAnsi="Times New Roman" w:cs="Times New Roman"/>
          <w:sz w:val="24"/>
          <w:szCs w:val="24"/>
          <w:shd w:val="clear" w:color="auto" w:fill="FFFFFF"/>
          <w:lang w:val="en-US"/>
        </w:rPr>
        <w:t xml:space="preserve">Zwitser EW, Breederveld RS. Fractures of the fifth metatarsal; diagnosis and treatment. Injury. </w:t>
      </w:r>
      <w:r w:rsidRPr="000F75B9">
        <w:rPr>
          <w:rFonts w:ascii="Times New Roman" w:hAnsi="Times New Roman" w:cs="Times New Roman"/>
          <w:sz w:val="24"/>
          <w:szCs w:val="24"/>
          <w:shd w:val="clear" w:color="auto" w:fill="FFFFFF"/>
        </w:rPr>
        <w:t>2010; 41(6): 555-562.</w:t>
      </w:r>
    </w:p>
    <w:p w14:paraId="3DB8C967" w14:textId="77777777" w:rsidR="0027691A" w:rsidRDefault="0027691A" w:rsidP="007448FC">
      <w:pPr>
        <w:spacing w:line="360" w:lineRule="auto"/>
        <w:jc w:val="both"/>
        <w:rPr>
          <w:rFonts w:ascii="Times New Roman" w:hAnsi="Times New Roman" w:cs="Times New Roman"/>
          <w:sz w:val="24"/>
          <w:szCs w:val="24"/>
          <w:shd w:val="clear" w:color="auto" w:fill="FFFFFF"/>
        </w:rPr>
      </w:pPr>
    </w:p>
    <w:p w14:paraId="751343C4" w14:textId="77777777" w:rsidR="0027691A" w:rsidRDefault="0027691A" w:rsidP="007448FC">
      <w:pPr>
        <w:spacing w:line="360" w:lineRule="auto"/>
        <w:jc w:val="both"/>
        <w:rPr>
          <w:rFonts w:ascii="Times New Roman" w:hAnsi="Times New Roman" w:cs="Times New Roman"/>
          <w:sz w:val="24"/>
          <w:szCs w:val="24"/>
          <w:shd w:val="clear" w:color="auto" w:fill="FFFFFF"/>
        </w:rPr>
      </w:pPr>
    </w:p>
    <w:p w14:paraId="7F1B9DC0" w14:textId="77777777" w:rsidR="0027691A" w:rsidRDefault="0027691A" w:rsidP="007448FC">
      <w:pPr>
        <w:spacing w:line="360" w:lineRule="auto"/>
        <w:jc w:val="both"/>
        <w:rPr>
          <w:rFonts w:ascii="Times New Roman" w:hAnsi="Times New Roman" w:cs="Times New Roman"/>
          <w:sz w:val="24"/>
          <w:szCs w:val="24"/>
          <w:shd w:val="clear" w:color="auto" w:fill="FFFFFF"/>
        </w:rPr>
      </w:pPr>
    </w:p>
    <w:p w14:paraId="5DEE43F7" w14:textId="77777777" w:rsidR="00074CB9" w:rsidRDefault="00074CB9" w:rsidP="007448FC">
      <w:pPr>
        <w:spacing w:line="360" w:lineRule="auto"/>
        <w:jc w:val="both"/>
        <w:rPr>
          <w:rFonts w:ascii="Times New Roman" w:hAnsi="Times New Roman" w:cs="Times New Roman"/>
          <w:sz w:val="24"/>
          <w:szCs w:val="24"/>
          <w:shd w:val="clear" w:color="auto" w:fill="FFFFFF"/>
        </w:rPr>
      </w:pPr>
    </w:p>
    <w:p w14:paraId="18B249DA" w14:textId="77777777" w:rsidR="00074CB9" w:rsidRDefault="00074CB9" w:rsidP="007448FC">
      <w:pPr>
        <w:spacing w:line="360" w:lineRule="auto"/>
        <w:jc w:val="both"/>
        <w:rPr>
          <w:rFonts w:ascii="Times New Roman" w:hAnsi="Times New Roman" w:cs="Times New Roman"/>
          <w:sz w:val="24"/>
          <w:szCs w:val="24"/>
          <w:shd w:val="clear" w:color="auto" w:fill="FFFFFF"/>
        </w:rPr>
      </w:pPr>
    </w:p>
    <w:p w14:paraId="0AC7F1FC" w14:textId="77777777" w:rsidR="00074CB9" w:rsidRDefault="00074CB9" w:rsidP="007448FC">
      <w:pPr>
        <w:spacing w:line="360" w:lineRule="auto"/>
        <w:jc w:val="both"/>
        <w:rPr>
          <w:rFonts w:ascii="Times New Roman" w:hAnsi="Times New Roman" w:cs="Times New Roman"/>
          <w:sz w:val="24"/>
          <w:szCs w:val="24"/>
          <w:shd w:val="clear" w:color="auto" w:fill="FFFFFF"/>
        </w:rPr>
      </w:pPr>
    </w:p>
    <w:p w14:paraId="339B1675" w14:textId="77777777" w:rsidR="00074CB9" w:rsidRDefault="00074CB9" w:rsidP="007448FC">
      <w:pPr>
        <w:spacing w:line="360" w:lineRule="auto"/>
        <w:jc w:val="both"/>
        <w:rPr>
          <w:rFonts w:ascii="Times New Roman" w:hAnsi="Times New Roman" w:cs="Times New Roman"/>
          <w:sz w:val="24"/>
          <w:szCs w:val="24"/>
          <w:shd w:val="clear" w:color="auto" w:fill="FFFFFF"/>
        </w:rPr>
      </w:pPr>
    </w:p>
    <w:p w14:paraId="5FB94C09" w14:textId="77777777" w:rsidR="00074CB9" w:rsidRDefault="00074CB9" w:rsidP="007448FC">
      <w:pPr>
        <w:spacing w:line="360" w:lineRule="auto"/>
        <w:jc w:val="both"/>
        <w:rPr>
          <w:rFonts w:ascii="Times New Roman" w:hAnsi="Times New Roman" w:cs="Times New Roman"/>
          <w:sz w:val="24"/>
          <w:szCs w:val="24"/>
          <w:shd w:val="clear" w:color="auto" w:fill="FFFFFF"/>
        </w:rPr>
      </w:pPr>
    </w:p>
    <w:p w14:paraId="326C2DB3" w14:textId="77777777" w:rsidR="00772234" w:rsidRDefault="00772234" w:rsidP="007448FC">
      <w:pPr>
        <w:spacing w:line="360" w:lineRule="auto"/>
        <w:jc w:val="both"/>
        <w:rPr>
          <w:rFonts w:ascii="Times New Roman" w:hAnsi="Times New Roman" w:cs="Times New Roman"/>
          <w:sz w:val="24"/>
          <w:szCs w:val="24"/>
          <w:shd w:val="clear" w:color="auto" w:fill="FFFFFF"/>
        </w:rPr>
      </w:pPr>
    </w:p>
    <w:p w14:paraId="7B21FF45" w14:textId="77777777" w:rsidR="00772234" w:rsidRDefault="00772234" w:rsidP="007448FC">
      <w:pPr>
        <w:spacing w:line="360" w:lineRule="auto"/>
        <w:jc w:val="both"/>
        <w:rPr>
          <w:rFonts w:ascii="Times New Roman" w:hAnsi="Times New Roman" w:cs="Times New Roman"/>
          <w:sz w:val="24"/>
          <w:szCs w:val="24"/>
          <w:shd w:val="clear" w:color="auto" w:fill="FFFFFF"/>
        </w:rPr>
      </w:pPr>
    </w:p>
    <w:p w14:paraId="62A6E4B0" w14:textId="77777777" w:rsidR="00074CB9" w:rsidRDefault="00074CB9" w:rsidP="007448FC">
      <w:pPr>
        <w:spacing w:line="360" w:lineRule="auto"/>
        <w:jc w:val="both"/>
        <w:rPr>
          <w:rFonts w:ascii="Times New Roman" w:hAnsi="Times New Roman" w:cs="Times New Roman"/>
          <w:sz w:val="24"/>
          <w:szCs w:val="24"/>
          <w:shd w:val="clear" w:color="auto" w:fill="FFFFFF"/>
        </w:rPr>
      </w:pPr>
    </w:p>
    <w:p w14:paraId="3C1D4E5E" w14:textId="77777777" w:rsidR="0072367C" w:rsidRDefault="0072367C" w:rsidP="007448FC">
      <w:pPr>
        <w:spacing w:line="360" w:lineRule="auto"/>
        <w:jc w:val="both"/>
        <w:rPr>
          <w:rFonts w:ascii="Times New Roman" w:hAnsi="Times New Roman" w:cs="Times New Roman"/>
          <w:sz w:val="24"/>
          <w:szCs w:val="24"/>
          <w:shd w:val="clear" w:color="auto" w:fill="FFFFFF"/>
        </w:rPr>
      </w:pPr>
    </w:p>
    <w:p w14:paraId="4F6CC35C" w14:textId="436B54E9" w:rsidR="00AE6BEE" w:rsidRDefault="00AE6BEE" w:rsidP="007448FC">
      <w:pPr>
        <w:spacing w:line="360" w:lineRule="auto"/>
        <w:jc w:val="both"/>
        <w:rPr>
          <w:rFonts w:ascii="Times New Roman" w:hAnsi="Times New Roman" w:cs="Times New Roman"/>
          <w:sz w:val="24"/>
          <w:szCs w:val="24"/>
          <w:shd w:val="clear" w:color="auto" w:fill="FFFFFF"/>
        </w:rPr>
      </w:pPr>
    </w:p>
    <w:p w14:paraId="07A54770" w14:textId="6AB25087" w:rsidR="006B400C" w:rsidRDefault="006B400C" w:rsidP="007448FC">
      <w:pPr>
        <w:spacing w:line="360" w:lineRule="auto"/>
        <w:jc w:val="both"/>
        <w:rPr>
          <w:rFonts w:ascii="Times New Roman" w:hAnsi="Times New Roman" w:cs="Times New Roman"/>
          <w:sz w:val="24"/>
          <w:szCs w:val="24"/>
          <w:shd w:val="clear" w:color="auto" w:fill="FFFFFF"/>
        </w:rPr>
      </w:pPr>
    </w:p>
    <w:p w14:paraId="579CFC28" w14:textId="7ECC6AB1" w:rsidR="006B400C" w:rsidRPr="000F75B9" w:rsidRDefault="006B400C" w:rsidP="007448FC">
      <w:pPr>
        <w:spacing w:line="360" w:lineRule="auto"/>
        <w:jc w:val="both"/>
        <w:rPr>
          <w:rFonts w:ascii="Times New Roman" w:hAnsi="Times New Roman" w:cs="Times New Roman"/>
          <w:sz w:val="24"/>
          <w:szCs w:val="24"/>
          <w:shd w:val="clear" w:color="auto" w:fill="FFFFFF"/>
        </w:rPr>
      </w:pPr>
    </w:p>
    <w:p w14:paraId="06BCC8DC" w14:textId="5D8993E4" w:rsidR="00266FE8" w:rsidRPr="00AE6BEE" w:rsidRDefault="00266FE8" w:rsidP="00266FE8">
      <w:pPr>
        <w:pStyle w:val="Legenda"/>
        <w:keepNext/>
        <w:rPr>
          <w:rFonts w:ascii="Times New Roman" w:hAnsi="Times New Roman" w:cs="Times New Roman"/>
          <w:color w:val="auto"/>
          <w:sz w:val="24"/>
        </w:rPr>
      </w:pPr>
      <w:r w:rsidRPr="006B400C">
        <w:rPr>
          <w:rFonts w:ascii="Times New Roman" w:hAnsi="Times New Roman" w:cs="Times New Roman"/>
          <w:b/>
          <w:color w:val="auto"/>
          <w:sz w:val="24"/>
        </w:rPr>
        <w:lastRenderedPageBreak/>
        <w:t xml:space="preserve">Table </w:t>
      </w:r>
      <w:r w:rsidR="003004C2" w:rsidRPr="006B400C">
        <w:rPr>
          <w:rFonts w:ascii="Times New Roman" w:hAnsi="Times New Roman" w:cs="Times New Roman"/>
          <w:b/>
          <w:color w:val="auto"/>
          <w:sz w:val="24"/>
        </w:rPr>
        <w:t>1</w:t>
      </w:r>
      <w:r w:rsidRPr="00AE6BEE">
        <w:rPr>
          <w:rFonts w:ascii="Times New Roman" w:hAnsi="Times New Roman" w:cs="Times New Roman"/>
          <w:color w:val="auto"/>
          <w:sz w:val="24"/>
        </w:rPr>
        <w:t>. Participant</w:t>
      </w:r>
      <w:r w:rsidR="00642CB4" w:rsidRPr="00AE6BEE">
        <w:rPr>
          <w:rFonts w:ascii="Times New Roman" w:hAnsi="Times New Roman" w:cs="Times New Roman"/>
          <w:color w:val="auto"/>
          <w:sz w:val="24"/>
        </w:rPr>
        <w:t>s’</w:t>
      </w:r>
      <w:r w:rsidRPr="00AE6BEE">
        <w:rPr>
          <w:rFonts w:ascii="Times New Roman" w:hAnsi="Times New Roman" w:cs="Times New Roman"/>
          <w:color w:val="auto"/>
          <w:sz w:val="24"/>
        </w:rPr>
        <w:t xml:space="preserve"> characteristics</w:t>
      </w:r>
    </w:p>
    <w:tbl>
      <w:tblPr>
        <w:tblW w:w="9500" w:type="dxa"/>
        <w:tblCellMar>
          <w:left w:w="70" w:type="dxa"/>
          <w:right w:w="70" w:type="dxa"/>
        </w:tblCellMar>
        <w:tblLook w:val="04A0" w:firstRow="1" w:lastRow="0" w:firstColumn="1" w:lastColumn="0" w:noHBand="0" w:noVBand="1"/>
      </w:tblPr>
      <w:tblGrid>
        <w:gridCol w:w="880"/>
        <w:gridCol w:w="820"/>
        <w:gridCol w:w="700"/>
        <w:gridCol w:w="880"/>
        <w:gridCol w:w="1600"/>
        <w:gridCol w:w="1180"/>
        <w:gridCol w:w="1340"/>
        <w:gridCol w:w="2100"/>
      </w:tblGrid>
      <w:tr w:rsidR="00EC4FFF" w:rsidRPr="009C5CBE" w14:paraId="75F08881" w14:textId="77777777" w:rsidTr="006B61AC">
        <w:trPr>
          <w:trHeight w:val="900"/>
        </w:trPr>
        <w:tc>
          <w:tcPr>
            <w:tcW w:w="880" w:type="dxa"/>
            <w:tcBorders>
              <w:top w:val="nil"/>
              <w:left w:val="nil"/>
              <w:bottom w:val="single" w:sz="4" w:space="0" w:color="auto"/>
              <w:right w:val="nil"/>
            </w:tcBorders>
            <w:shd w:val="clear" w:color="auto" w:fill="auto"/>
            <w:vAlign w:val="center"/>
            <w:hideMark/>
          </w:tcPr>
          <w:p w14:paraId="1372446A"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patient number</w:t>
            </w:r>
          </w:p>
        </w:tc>
        <w:tc>
          <w:tcPr>
            <w:tcW w:w="820" w:type="dxa"/>
            <w:tcBorders>
              <w:top w:val="nil"/>
              <w:left w:val="nil"/>
              <w:bottom w:val="single" w:sz="4" w:space="0" w:color="auto"/>
              <w:right w:val="nil"/>
            </w:tcBorders>
            <w:shd w:val="clear" w:color="auto" w:fill="auto"/>
            <w:noWrap/>
            <w:vAlign w:val="center"/>
            <w:hideMark/>
          </w:tcPr>
          <w:p w14:paraId="21B75B98"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sex</w:t>
            </w:r>
          </w:p>
        </w:tc>
        <w:tc>
          <w:tcPr>
            <w:tcW w:w="700" w:type="dxa"/>
            <w:tcBorders>
              <w:top w:val="nil"/>
              <w:left w:val="nil"/>
              <w:bottom w:val="single" w:sz="4" w:space="0" w:color="auto"/>
              <w:right w:val="nil"/>
            </w:tcBorders>
            <w:shd w:val="clear" w:color="auto" w:fill="auto"/>
            <w:noWrap/>
            <w:vAlign w:val="center"/>
            <w:hideMark/>
          </w:tcPr>
          <w:p w14:paraId="12419BD5"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age</w:t>
            </w:r>
          </w:p>
        </w:tc>
        <w:tc>
          <w:tcPr>
            <w:tcW w:w="880" w:type="dxa"/>
            <w:tcBorders>
              <w:top w:val="nil"/>
              <w:left w:val="nil"/>
              <w:bottom w:val="single" w:sz="4" w:space="0" w:color="auto"/>
              <w:right w:val="nil"/>
            </w:tcBorders>
            <w:shd w:val="clear" w:color="auto" w:fill="auto"/>
            <w:noWrap/>
            <w:vAlign w:val="center"/>
            <w:hideMark/>
          </w:tcPr>
          <w:p w14:paraId="7A03E409"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BMI</w:t>
            </w:r>
          </w:p>
        </w:tc>
        <w:tc>
          <w:tcPr>
            <w:tcW w:w="1600" w:type="dxa"/>
            <w:tcBorders>
              <w:top w:val="nil"/>
              <w:left w:val="nil"/>
              <w:bottom w:val="single" w:sz="4" w:space="0" w:color="auto"/>
              <w:right w:val="nil"/>
            </w:tcBorders>
            <w:shd w:val="clear" w:color="auto" w:fill="auto"/>
            <w:noWrap/>
            <w:vAlign w:val="center"/>
            <w:hideMark/>
          </w:tcPr>
          <w:p w14:paraId="02502D2D"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position</w:t>
            </w:r>
          </w:p>
        </w:tc>
        <w:tc>
          <w:tcPr>
            <w:tcW w:w="1180" w:type="dxa"/>
            <w:tcBorders>
              <w:top w:val="nil"/>
              <w:left w:val="nil"/>
              <w:bottom w:val="single" w:sz="4" w:space="0" w:color="auto"/>
              <w:right w:val="nil"/>
            </w:tcBorders>
            <w:shd w:val="clear" w:color="auto" w:fill="auto"/>
            <w:vAlign w:val="center"/>
            <w:hideMark/>
          </w:tcPr>
          <w:p w14:paraId="58E1CD38"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Pr>
                <w:rFonts w:ascii="Calibri" w:eastAsia="Times New Roman" w:hAnsi="Calibri" w:cs="Times New Roman"/>
                <w:color w:val="000000"/>
                <w:lang w:eastAsia="pl-PL"/>
              </w:rPr>
              <w:t>Injured limb</w:t>
            </w:r>
          </w:p>
        </w:tc>
        <w:tc>
          <w:tcPr>
            <w:tcW w:w="1340" w:type="dxa"/>
            <w:tcBorders>
              <w:top w:val="nil"/>
              <w:left w:val="nil"/>
              <w:bottom w:val="single" w:sz="4" w:space="0" w:color="auto"/>
              <w:right w:val="nil"/>
            </w:tcBorders>
            <w:shd w:val="clear" w:color="auto" w:fill="auto"/>
            <w:vAlign w:val="center"/>
            <w:hideMark/>
          </w:tcPr>
          <w:p w14:paraId="698ACE30" w14:textId="77777777" w:rsidR="00EC4FFF" w:rsidRPr="00322FF2" w:rsidRDefault="00EC4FFF" w:rsidP="006B61AC">
            <w:pPr>
              <w:spacing w:after="0" w:line="240" w:lineRule="auto"/>
              <w:jc w:val="center"/>
              <w:rPr>
                <w:rFonts w:ascii="Calibri" w:eastAsia="Times New Roman" w:hAnsi="Calibri" w:cs="Times New Roman"/>
                <w:color w:val="000000"/>
                <w:lang w:val="en-US" w:eastAsia="pl-PL"/>
              </w:rPr>
            </w:pPr>
            <w:r w:rsidRPr="00322FF2">
              <w:rPr>
                <w:rFonts w:ascii="Calibri" w:eastAsia="Times New Roman" w:hAnsi="Calibri" w:cs="Times New Roman"/>
                <w:color w:val="000000"/>
                <w:lang w:val="en-US" w:eastAsia="pl-PL"/>
              </w:rPr>
              <w:t>conservative treatment in the past</w:t>
            </w:r>
          </w:p>
        </w:tc>
        <w:tc>
          <w:tcPr>
            <w:tcW w:w="2100" w:type="dxa"/>
            <w:tcBorders>
              <w:top w:val="nil"/>
              <w:left w:val="nil"/>
              <w:bottom w:val="single" w:sz="4" w:space="0" w:color="auto"/>
              <w:right w:val="nil"/>
            </w:tcBorders>
            <w:shd w:val="clear" w:color="auto" w:fill="auto"/>
            <w:vAlign w:val="center"/>
            <w:hideMark/>
          </w:tcPr>
          <w:p w14:paraId="0D14E70D" w14:textId="43DE000C" w:rsidR="00EC4FFF" w:rsidRPr="00322FF2" w:rsidRDefault="00D12659" w:rsidP="006B61AC">
            <w:pPr>
              <w:spacing w:after="0" w:line="240" w:lineRule="auto"/>
              <w:jc w:val="center"/>
              <w:rPr>
                <w:rFonts w:ascii="Calibri" w:eastAsia="Times New Roman" w:hAnsi="Calibri" w:cs="Times New Roman"/>
                <w:color w:val="000000"/>
                <w:lang w:val="en-US" w:eastAsia="pl-PL"/>
              </w:rPr>
            </w:pPr>
            <w:r>
              <w:rPr>
                <w:rFonts w:ascii="Calibri" w:eastAsia="Times New Roman" w:hAnsi="Calibri" w:cs="Times New Roman"/>
                <w:color w:val="000000"/>
                <w:lang w:val="en-US" w:eastAsia="pl-PL"/>
              </w:rPr>
              <w:t>time need to return</w:t>
            </w:r>
            <w:r w:rsidR="00EC4FFF" w:rsidRPr="00322FF2">
              <w:rPr>
                <w:rFonts w:ascii="Calibri" w:eastAsia="Times New Roman" w:hAnsi="Calibri" w:cs="Times New Roman"/>
                <w:color w:val="000000"/>
                <w:lang w:val="en-US" w:eastAsia="pl-PL"/>
              </w:rPr>
              <w:t xml:space="preserve"> to play after surgery treatment (weeks)</w:t>
            </w:r>
          </w:p>
        </w:tc>
      </w:tr>
      <w:tr w:rsidR="00EC4FFF" w:rsidRPr="004036AF" w14:paraId="6FC340C7" w14:textId="77777777" w:rsidTr="006B61AC">
        <w:trPr>
          <w:trHeight w:val="300"/>
        </w:trPr>
        <w:tc>
          <w:tcPr>
            <w:tcW w:w="880" w:type="dxa"/>
            <w:tcBorders>
              <w:top w:val="single" w:sz="4" w:space="0" w:color="auto"/>
              <w:left w:val="nil"/>
              <w:bottom w:val="nil"/>
              <w:right w:val="nil"/>
            </w:tcBorders>
            <w:shd w:val="clear" w:color="auto" w:fill="auto"/>
            <w:noWrap/>
            <w:vAlign w:val="center"/>
            <w:hideMark/>
          </w:tcPr>
          <w:p w14:paraId="27B1B234"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1</w:t>
            </w:r>
          </w:p>
        </w:tc>
        <w:tc>
          <w:tcPr>
            <w:tcW w:w="820" w:type="dxa"/>
            <w:tcBorders>
              <w:top w:val="single" w:sz="4" w:space="0" w:color="auto"/>
              <w:left w:val="nil"/>
              <w:bottom w:val="nil"/>
              <w:right w:val="nil"/>
            </w:tcBorders>
            <w:shd w:val="clear" w:color="auto" w:fill="auto"/>
            <w:noWrap/>
            <w:vAlign w:val="bottom"/>
            <w:hideMark/>
          </w:tcPr>
          <w:p w14:paraId="670E39BF"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male</w:t>
            </w:r>
          </w:p>
        </w:tc>
        <w:tc>
          <w:tcPr>
            <w:tcW w:w="700" w:type="dxa"/>
            <w:tcBorders>
              <w:top w:val="single" w:sz="4" w:space="0" w:color="auto"/>
              <w:left w:val="nil"/>
              <w:bottom w:val="nil"/>
              <w:right w:val="nil"/>
            </w:tcBorders>
            <w:shd w:val="clear" w:color="auto" w:fill="auto"/>
            <w:noWrap/>
            <w:vAlign w:val="bottom"/>
            <w:hideMark/>
          </w:tcPr>
          <w:p w14:paraId="27CA51D2"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22</w:t>
            </w:r>
          </w:p>
        </w:tc>
        <w:tc>
          <w:tcPr>
            <w:tcW w:w="880" w:type="dxa"/>
            <w:tcBorders>
              <w:top w:val="single" w:sz="4" w:space="0" w:color="auto"/>
              <w:left w:val="nil"/>
              <w:bottom w:val="nil"/>
              <w:right w:val="nil"/>
            </w:tcBorders>
            <w:shd w:val="clear" w:color="auto" w:fill="auto"/>
            <w:noWrap/>
            <w:vAlign w:val="bottom"/>
            <w:hideMark/>
          </w:tcPr>
          <w:p w14:paraId="17B19B51"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22</w:t>
            </w:r>
          </w:p>
        </w:tc>
        <w:tc>
          <w:tcPr>
            <w:tcW w:w="1600" w:type="dxa"/>
            <w:tcBorders>
              <w:top w:val="single" w:sz="4" w:space="0" w:color="auto"/>
              <w:left w:val="nil"/>
              <w:bottom w:val="nil"/>
              <w:right w:val="nil"/>
            </w:tcBorders>
            <w:shd w:val="clear" w:color="auto" w:fill="auto"/>
            <w:noWrap/>
            <w:vAlign w:val="bottom"/>
            <w:hideMark/>
          </w:tcPr>
          <w:p w14:paraId="13A0247B"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attacker</w:t>
            </w:r>
          </w:p>
        </w:tc>
        <w:tc>
          <w:tcPr>
            <w:tcW w:w="1180" w:type="dxa"/>
            <w:tcBorders>
              <w:top w:val="single" w:sz="4" w:space="0" w:color="auto"/>
              <w:left w:val="nil"/>
              <w:bottom w:val="nil"/>
              <w:right w:val="nil"/>
            </w:tcBorders>
            <w:shd w:val="clear" w:color="auto" w:fill="auto"/>
            <w:noWrap/>
            <w:vAlign w:val="bottom"/>
            <w:hideMark/>
          </w:tcPr>
          <w:p w14:paraId="01A4430D"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right</w:t>
            </w:r>
          </w:p>
        </w:tc>
        <w:tc>
          <w:tcPr>
            <w:tcW w:w="1340" w:type="dxa"/>
            <w:tcBorders>
              <w:top w:val="single" w:sz="4" w:space="0" w:color="auto"/>
              <w:left w:val="nil"/>
              <w:bottom w:val="nil"/>
              <w:right w:val="nil"/>
            </w:tcBorders>
            <w:shd w:val="clear" w:color="auto" w:fill="auto"/>
            <w:noWrap/>
            <w:vAlign w:val="bottom"/>
            <w:hideMark/>
          </w:tcPr>
          <w:p w14:paraId="15ACFE53"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Pr>
                <w:rFonts w:ascii="Calibri" w:eastAsia="Times New Roman" w:hAnsi="Calibri" w:cs="Times New Roman"/>
                <w:color w:val="000000"/>
                <w:lang w:eastAsia="pl-PL"/>
              </w:rPr>
              <w:t>no</w:t>
            </w:r>
          </w:p>
        </w:tc>
        <w:tc>
          <w:tcPr>
            <w:tcW w:w="2100" w:type="dxa"/>
            <w:tcBorders>
              <w:top w:val="single" w:sz="4" w:space="0" w:color="auto"/>
              <w:left w:val="nil"/>
              <w:bottom w:val="nil"/>
              <w:right w:val="nil"/>
            </w:tcBorders>
            <w:shd w:val="clear" w:color="auto" w:fill="auto"/>
            <w:noWrap/>
            <w:vAlign w:val="bottom"/>
            <w:hideMark/>
          </w:tcPr>
          <w:p w14:paraId="28A57D43"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6</w:t>
            </w:r>
          </w:p>
        </w:tc>
      </w:tr>
      <w:tr w:rsidR="00EC4FFF" w:rsidRPr="004036AF" w14:paraId="706ADE14" w14:textId="77777777" w:rsidTr="006B61AC">
        <w:trPr>
          <w:trHeight w:val="300"/>
        </w:trPr>
        <w:tc>
          <w:tcPr>
            <w:tcW w:w="880" w:type="dxa"/>
            <w:tcBorders>
              <w:top w:val="nil"/>
              <w:left w:val="nil"/>
              <w:bottom w:val="nil"/>
              <w:right w:val="nil"/>
            </w:tcBorders>
            <w:shd w:val="clear" w:color="auto" w:fill="auto"/>
            <w:noWrap/>
            <w:vAlign w:val="center"/>
            <w:hideMark/>
          </w:tcPr>
          <w:p w14:paraId="3098F4CA"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2</w:t>
            </w:r>
          </w:p>
        </w:tc>
        <w:tc>
          <w:tcPr>
            <w:tcW w:w="820" w:type="dxa"/>
            <w:tcBorders>
              <w:top w:val="nil"/>
              <w:left w:val="nil"/>
              <w:bottom w:val="nil"/>
              <w:right w:val="nil"/>
            </w:tcBorders>
            <w:shd w:val="clear" w:color="auto" w:fill="auto"/>
            <w:noWrap/>
            <w:vAlign w:val="bottom"/>
            <w:hideMark/>
          </w:tcPr>
          <w:p w14:paraId="76F3A732"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male</w:t>
            </w:r>
          </w:p>
        </w:tc>
        <w:tc>
          <w:tcPr>
            <w:tcW w:w="700" w:type="dxa"/>
            <w:tcBorders>
              <w:top w:val="nil"/>
              <w:left w:val="nil"/>
              <w:bottom w:val="nil"/>
              <w:right w:val="nil"/>
            </w:tcBorders>
            <w:shd w:val="clear" w:color="auto" w:fill="auto"/>
            <w:noWrap/>
            <w:vAlign w:val="bottom"/>
            <w:hideMark/>
          </w:tcPr>
          <w:p w14:paraId="7C6223BE"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29</w:t>
            </w:r>
          </w:p>
        </w:tc>
        <w:tc>
          <w:tcPr>
            <w:tcW w:w="880" w:type="dxa"/>
            <w:tcBorders>
              <w:top w:val="nil"/>
              <w:left w:val="nil"/>
              <w:bottom w:val="nil"/>
              <w:right w:val="nil"/>
            </w:tcBorders>
            <w:shd w:val="clear" w:color="auto" w:fill="auto"/>
            <w:noWrap/>
            <w:vAlign w:val="bottom"/>
            <w:hideMark/>
          </w:tcPr>
          <w:p w14:paraId="5C023685"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25</w:t>
            </w:r>
          </w:p>
        </w:tc>
        <w:tc>
          <w:tcPr>
            <w:tcW w:w="1600" w:type="dxa"/>
            <w:tcBorders>
              <w:top w:val="nil"/>
              <w:left w:val="nil"/>
              <w:bottom w:val="nil"/>
              <w:right w:val="nil"/>
            </w:tcBorders>
            <w:shd w:val="clear" w:color="auto" w:fill="auto"/>
            <w:noWrap/>
            <w:vAlign w:val="bottom"/>
            <w:hideMark/>
          </w:tcPr>
          <w:p w14:paraId="5BF267F4"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attacker</w:t>
            </w:r>
          </w:p>
        </w:tc>
        <w:tc>
          <w:tcPr>
            <w:tcW w:w="1180" w:type="dxa"/>
            <w:tcBorders>
              <w:top w:val="nil"/>
              <w:left w:val="nil"/>
              <w:bottom w:val="nil"/>
              <w:right w:val="nil"/>
            </w:tcBorders>
            <w:shd w:val="clear" w:color="auto" w:fill="auto"/>
            <w:noWrap/>
            <w:vAlign w:val="bottom"/>
            <w:hideMark/>
          </w:tcPr>
          <w:p w14:paraId="7D8ADB19"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left</w:t>
            </w:r>
          </w:p>
        </w:tc>
        <w:tc>
          <w:tcPr>
            <w:tcW w:w="1340" w:type="dxa"/>
            <w:tcBorders>
              <w:top w:val="nil"/>
              <w:left w:val="nil"/>
              <w:bottom w:val="nil"/>
              <w:right w:val="nil"/>
            </w:tcBorders>
            <w:shd w:val="clear" w:color="auto" w:fill="auto"/>
            <w:noWrap/>
            <w:vAlign w:val="bottom"/>
            <w:hideMark/>
          </w:tcPr>
          <w:p w14:paraId="530437A8"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Pr>
                <w:rFonts w:ascii="Calibri" w:eastAsia="Times New Roman" w:hAnsi="Calibri" w:cs="Times New Roman"/>
                <w:color w:val="000000"/>
                <w:lang w:eastAsia="pl-PL"/>
              </w:rPr>
              <w:t>yes</w:t>
            </w:r>
          </w:p>
        </w:tc>
        <w:tc>
          <w:tcPr>
            <w:tcW w:w="2100" w:type="dxa"/>
            <w:tcBorders>
              <w:top w:val="nil"/>
              <w:left w:val="nil"/>
              <w:bottom w:val="nil"/>
              <w:right w:val="nil"/>
            </w:tcBorders>
            <w:shd w:val="clear" w:color="auto" w:fill="auto"/>
            <w:noWrap/>
            <w:vAlign w:val="bottom"/>
            <w:hideMark/>
          </w:tcPr>
          <w:p w14:paraId="63D7FF52"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6</w:t>
            </w:r>
          </w:p>
        </w:tc>
      </w:tr>
      <w:tr w:rsidR="00EC4FFF" w:rsidRPr="004036AF" w14:paraId="75A89703" w14:textId="77777777" w:rsidTr="006B61AC">
        <w:trPr>
          <w:trHeight w:val="300"/>
        </w:trPr>
        <w:tc>
          <w:tcPr>
            <w:tcW w:w="880" w:type="dxa"/>
            <w:tcBorders>
              <w:top w:val="nil"/>
              <w:left w:val="nil"/>
              <w:bottom w:val="nil"/>
              <w:right w:val="nil"/>
            </w:tcBorders>
            <w:shd w:val="clear" w:color="auto" w:fill="auto"/>
            <w:noWrap/>
            <w:vAlign w:val="center"/>
            <w:hideMark/>
          </w:tcPr>
          <w:p w14:paraId="4ED697AE"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3</w:t>
            </w:r>
          </w:p>
        </w:tc>
        <w:tc>
          <w:tcPr>
            <w:tcW w:w="820" w:type="dxa"/>
            <w:tcBorders>
              <w:top w:val="nil"/>
              <w:left w:val="nil"/>
              <w:bottom w:val="nil"/>
              <w:right w:val="nil"/>
            </w:tcBorders>
            <w:shd w:val="clear" w:color="auto" w:fill="auto"/>
            <w:noWrap/>
            <w:vAlign w:val="bottom"/>
            <w:hideMark/>
          </w:tcPr>
          <w:p w14:paraId="1985D624"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male</w:t>
            </w:r>
          </w:p>
        </w:tc>
        <w:tc>
          <w:tcPr>
            <w:tcW w:w="700" w:type="dxa"/>
            <w:tcBorders>
              <w:top w:val="nil"/>
              <w:left w:val="nil"/>
              <w:bottom w:val="nil"/>
              <w:right w:val="nil"/>
            </w:tcBorders>
            <w:shd w:val="clear" w:color="auto" w:fill="auto"/>
            <w:noWrap/>
            <w:vAlign w:val="bottom"/>
            <w:hideMark/>
          </w:tcPr>
          <w:p w14:paraId="3E74D415"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27</w:t>
            </w:r>
          </w:p>
        </w:tc>
        <w:tc>
          <w:tcPr>
            <w:tcW w:w="880" w:type="dxa"/>
            <w:tcBorders>
              <w:top w:val="nil"/>
              <w:left w:val="nil"/>
              <w:bottom w:val="nil"/>
              <w:right w:val="nil"/>
            </w:tcBorders>
            <w:shd w:val="clear" w:color="auto" w:fill="auto"/>
            <w:noWrap/>
            <w:vAlign w:val="bottom"/>
            <w:hideMark/>
          </w:tcPr>
          <w:p w14:paraId="22F8FB87"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24</w:t>
            </w:r>
          </w:p>
        </w:tc>
        <w:tc>
          <w:tcPr>
            <w:tcW w:w="1600" w:type="dxa"/>
            <w:tcBorders>
              <w:top w:val="nil"/>
              <w:left w:val="nil"/>
              <w:bottom w:val="nil"/>
              <w:right w:val="nil"/>
            </w:tcBorders>
            <w:shd w:val="clear" w:color="auto" w:fill="auto"/>
            <w:noWrap/>
            <w:vAlign w:val="bottom"/>
            <w:hideMark/>
          </w:tcPr>
          <w:p w14:paraId="44D631F9"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attacker</w:t>
            </w:r>
          </w:p>
        </w:tc>
        <w:tc>
          <w:tcPr>
            <w:tcW w:w="1180" w:type="dxa"/>
            <w:tcBorders>
              <w:top w:val="nil"/>
              <w:left w:val="nil"/>
              <w:bottom w:val="nil"/>
              <w:right w:val="nil"/>
            </w:tcBorders>
            <w:shd w:val="clear" w:color="auto" w:fill="auto"/>
            <w:noWrap/>
            <w:vAlign w:val="bottom"/>
            <w:hideMark/>
          </w:tcPr>
          <w:p w14:paraId="684805AE"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right</w:t>
            </w:r>
          </w:p>
        </w:tc>
        <w:tc>
          <w:tcPr>
            <w:tcW w:w="1340" w:type="dxa"/>
            <w:tcBorders>
              <w:top w:val="nil"/>
              <w:left w:val="nil"/>
              <w:bottom w:val="nil"/>
              <w:right w:val="nil"/>
            </w:tcBorders>
            <w:shd w:val="clear" w:color="auto" w:fill="auto"/>
            <w:noWrap/>
            <w:vAlign w:val="bottom"/>
            <w:hideMark/>
          </w:tcPr>
          <w:p w14:paraId="2E0ED774"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Pr>
                <w:rFonts w:ascii="Calibri" w:eastAsia="Times New Roman" w:hAnsi="Calibri" w:cs="Times New Roman"/>
                <w:color w:val="000000"/>
                <w:lang w:eastAsia="pl-PL"/>
              </w:rPr>
              <w:t>yes</w:t>
            </w:r>
          </w:p>
        </w:tc>
        <w:tc>
          <w:tcPr>
            <w:tcW w:w="2100" w:type="dxa"/>
            <w:tcBorders>
              <w:top w:val="nil"/>
              <w:left w:val="nil"/>
              <w:bottom w:val="nil"/>
              <w:right w:val="nil"/>
            </w:tcBorders>
            <w:shd w:val="clear" w:color="auto" w:fill="auto"/>
            <w:noWrap/>
            <w:vAlign w:val="bottom"/>
            <w:hideMark/>
          </w:tcPr>
          <w:p w14:paraId="0A6C3E8E"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16</w:t>
            </w:r>
          </w:p>
        </w:tc>
      </w:tr>
      <w:tr w:rsidR="00EC4FFF" w:rsidRPr="004036AF" w14:paraId="7C241384" w14:textId="77777777" w:rsidTr="006B61AC">
        <w:trPr>
          <w:trHeight w:val="300"/>
        </w:trPr>
        <w:tc>
          <w:tcPr>
            <w:tcW w:w="880" w:type="dxa"/>
            <w:tcBorders>
              <w:top w:val="nil"/>
              <w:left w:val="nil"/>
              <w:bottom w:val="nil"/>
              <w:right w:val="nil"/>
            </w:tcBorders>
            <w:shd w:val="clear" w:color="auto" w:fill="auto"/>
            <w:noWrap/>
            <w:vAlign w:val="center"/>
            <w:hideMark/>
          </w:tcPr>
          <w:p w14:paraId="5FB64E97"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4</w:t>
            </w:r>
          </w:p>
        </w:tc>
        <w:tc>
          <w:tcPr>
            <w:tcW w:w="820" w:type="dxa"/>
            <w:tcBorders>
              <w:top w:val="nil"/>
              <w:left w:val="nil"/>
              <w:bottom w:val="nil"/>
              <w:right w:val="nil"/>
            </w:tcBorders>
            <w:shd w:val="clear" w:color="auto" w:fill="auto"/>
            <w:noWrap/>
            <w:vAlign w:val="bottom"/>
            <w:hideMark/>
          </w:tcPr>
          <w:p w14:paraId="6FF1E479"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male</w:t>
            </w:r>
          </w:p>
        </w:tc>
        <w:tc>
          <w:tcPr>
            <w:tcW w:w="700" w:type="dxa"/>
            <w:tcBorders>
              <w:top w:val="nil"/>
              <w:left w:val="nil"/>
              <w:bottom w:val="nil"/>
              <w:right w:val="nil"/>
            </w:tcBorders>
            <w:shd w:val="clear" w:color="auto" w:fill="auto"/>
            <w:noWrap/>
            <w:vAlign w:val="bottom"/>
            <w:hideMark/>
          </w:tcPr>
          <w:p w14:paraId="2DD6EC32"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21</w:t>
            </w:r>
          </w:p>
        </w:tc>
        <w:tc>
          <w:tcPr>
            <w:tcW w:w="880" w:type="dxa"/>
            <w:tcBorders>
              <w:top w:val="nil"/>
              <w:left w:val="nil"/>
              <w:bottom w:val="nil"/>
              <w:right w:val="nil"/>
            </w:tcBorders>
            <w:shd w:val="clear" w:color="auto" w:fill="auto"/>
            <w:noWrap/>
            <w:vAlign w:val="bottom"/>
            <w:hideMark/>
          </w:tcPr>
          <w:p w14:paraId="293005EB"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23</w:t>
            </w:r>
          </w:p>
        </w:tc>
        <w:tc>
          <w:tcPr>
            <w:tcW w:w="1600" w:type="dxa"/>
            <w:tcBorders>
              <w:top w:val="nil"/>
              <w:left w:val="nil"/>
              <w:bottom w:val="nil"/>
              <w:right w:val="nil"/>
            </w:tcBorders>
            <w:shd w:val="clear" w:color="auto" w:fill="auto"/>
            <w:noWrap/>
            <w:vAlign w:val="bottom"/>
            <w:hideMark/>
          </w:tcPr>
          <w:p w14:paraId="325FD459"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attacker</w:t>
            </w:r>
          </w:p>
        </w:tc>
        <w:tc>
          <w:tcPr>
            <w:tcW w:w="1180" w:type="dxa"/>
            <w:tcBorders>
              <w:top w:val="nil"/>
              <w:left w:val="nil"/>
              <w:bottom w:val="nil"/>
              <w:right w:val="nil"/>
            </w:tcBorders>
            <w:shd w:val="clear" w:color="auto" w:fill="auto"/>
            <w:noWrap/>
            <w:vAlign w:val="bottom"/>
            <w:hideMark/>
          </w:tcPr>
          <w:p w14:paraId="21623B37"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right</w:t>
            </w:r>
          </w:p>
        </w:tc>
        <w:tc>
          <w:tcPr>
            <w:tcW w:w="1340" w:type="dxa"/>
            <w:tcBorders>
              <w:top w:val="nil"/>
              <w:left w:val="nil"/>
              <w:bottom w:val="nil"/>
              <w:right w:val="nil"/>
            </w:tcBorders>
            <w:shd w:val="clear" w:color="auto" w:fill="auto"/>
            <w:noWrap/>
            <w:vAlign w:val="bottom"/>
            <w:hideMark/>
          </w:tcPr>
          <w:p w14:paraId="50868180"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Pr>
                <w:rFonts w:ascii="Calibri" w:eastAsia="Times New Roman" w:hAnsi="Calibri" w:cs="Times New Roman"/>
                <w:color w:val="000000"/>
                <w:lang w:eastAsia="pl-PL"/>
              </w:rPr>
              <w:t>yes</w:t>
            </w:r>
          </w:p>
        </w:tc>
        <w:tc>
          <w:tcPr>
            <w:tcW w:w="2100" w:type="dxa"/>
            <w:tcBorders>
              <w:top w:val="nil"/>
              <w:left w:val="nil"/>
              <w:bottom w:val="nil"/>
              <w:right w:val="nil"/>
            </w:tcBorders>
            <w:shd w:val="clear" w:color="auto" w:fill="auto"/>
            <w:noWrap/>
            <w:vAlign w:val="bottom"/>
            <w:hideMark/>
          </w:tcPr>
          <w:p w14:paraId="5322E124"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12</w:t>
            </w:r>
          </w:p>
        </w:tc>
      </w:tr>
      <w:tr w:rsidR="00EC4FFF" w:rsidRPr="004036AF" w14:paraId="2A21251A" w14:textId="77777777" w:rsidTr="006B61AC">
        <w:trPr>
          <w:trHeight w:val="300"/>
        </w:trPr>
        <w:tc>
          <w:tcPr>
            <w:tcW w:w="880" w:type="dxa"/>
            <w:tcBorders>
              <w:top w:val="nil"/>
              <w:left w:val="nil"/>
              <w:bottom w:val="nil"/>
              <w:right w:val="nil"/>
            </w:tcBorders>
            <w:shd w:val="clear" w:color="auto" w:fill="auto"/>
            <w:noWrap/>
            <w:vAlign w:val="center"/>
            <w:hideMark/>
          </w:tcPr>
          <w:p w14:paraId="0F0DAF4F"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5</w:t>
            </w:r>
          </w:p>
        </w:tc>
        <w:tc>
          <w:tcPr>
            <w:tcW w:w="820" w:type="dxa"/>
            <w:tcBorders>
              <w:top w:val="nil"/>
              <w:left w:val="nil"/>
              <w:bottom w:val="nil"/>
              <w:right w:val="nil"/>
            </w:tcBorders>
            <w:shd w:val="clear" w:color="auto" w:fill="auto"/>
            <w:noWrap/>
            <w:vAlign w:val="bottom"/>
            <w:hideMark/>
          </w:tcPr>
          <w:p w14:paraId="1B0B2306"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male</w:t>
            </w:r>
          </w:p>
        </w:tc>
        <w:tc>
          <w:tcPr>
            <w:tcW w:w="700" w:type="dxa"/>
            <w:tcBorders>
              <w:top w:val="nil"/>
              <w:left w:val="nil"/>
              <w:bottom w:val="nil"/>
              <w:right w:val="nil"/>
            </w:tcBorders>
            <w:shd w:val="clear" w:color="auto" w:fill="auto"/>
            <w:noWrap/>
            <w:vAlign w:val="bottom"/>
            <w:hideMark/>
          </w:tcPr>
          <w:p w14:paraId="154B4EEF"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21</w:t>
            </w:r>
          </w:p>
        </w:tc>
        <w:tc>
          <w:tcPr>
            <w:tcW w:w="880" w:type="dxa"/>
            <w:tcBorders>
              <w:top w:val="nil"/>
              <w:left w:val="nil"/>
              <w:bottom w:val="nil"/>
              <w:right w:val="nil"/>
            </w:tcBorders>
            <w:shd w:val="clear" w:color="auto" w:fill="auto"/>
            <w:noWrap/>
            <w:vAlign w:val="bottom"/>
            <w:hideMark/>
          </w:tcPr>
          <w:p w14:paraId="051FF1AE"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23</w:t>
            </w:r>
          </w:p>
        </w:tc>
        <w:tc>
          <w:tcPr>
            <w:tcW w:w="1600" w:type="dxa"/>
            <w:tcBorders>
              <w:top w:val="nil"/>
              <w:left w:val="nil"/>
              <w:bottom w:val="nil"/>
              <w:right w:val="nil"/>
            </w:tcBorders>
            <w:shd w:val="clear" w:color="auto" w:fill="auto"/>
            <w:noWrap/>
            <w:vAlign w:val="bottom"/>
            <w:hideMark/>
          </w:tcPr>
          <w:p w14:paraId="3587654C"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midfielder</w:t>
            </w:r>
          </w:p>
        </w:tc>
        <w:tc>
          <w:tcPr>
            <w:tcW w:w="1180" w:type="dxa"/>
            <w:tcBorders>
              <w:top w:val="nil"/>
              <w:left w:val="nil"/>
              <w:bottom w:val="nil"/>
              <w:right w:val="nil"/>
            </w:tcBorders>
            <w:shd w:val="clear" w:color="auto" w:fill="auto"/>
            <w:noWrap/>
            <w:vAlign w:val="bottom"/>
            <w:hideMark/>
          </w:tcPr>
          <w:p w14:paraId="2645DA38"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right</w:t>
            </w:r>
          </w:p>
        </w:tc>
        <w:tc>
          <w:tcPr>
            <w:tcW w:w="1340" w:type="dxa"/>
            <w:tcBorders>
              <w:top w:val="nil"/>
              <w:left w:val="nil"/>
              <w:bottom w:val="nil"/>
              <w:right w:val="nil"/>
            </w:tcBorders>
            <w:shd w:val="clear" w:color="auto" w:fill="auto"/>
            <w:noWrap/>
            <w:vAlign w:val="bottom"/>
            <w:hideMark/>
          </w:tcPr>
          <w:p w14:paraId="60D1665E"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Pr>
                <w:rFonts w:ascii="Calibri" w:eastAsia="Times New Roman" w:hAnsi="Calibri" w:cs="Times New Roman"/>
                <w:color w:val="000000"/>
                <w:lang w:eastAsia="pl-PL"/>
              </w:rPr>
              <w:t>no</w:t>
            </w:r>
          </w:p>
        </w:tc>
        <w:tc>
          <w:tcPr>
            <w:tcW w:w="2100" w:type="dxa"/>
            <w:tcBorders>
              <w:top w:val="nil"/>
              <w:left w:val="nil"/>
              <w:bottom w:val="nil"/>
              <w:right w:val="nil"/>
            </w:tcBorders>
            <w:shd w:val="clear" w:color="auto" w:fill="auto"/>
            <w:noWrap/>
            <w:vAlign w:val="bottom"/>
            <w:hideMark/>
          </w:tcPr>
          <w:p w14:paraId="5C50FDB0"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8</w:t>
            </w:r>
          </w:p>
        </w:tc>
      </w:tr>
      <w:tr w:rsidR="00EC4FFF" w:rsidRPr="004036AF" w14:paraId="349EE952" w14:textId="77777777" w:rsidTr="006B61AC">
        <w:trPr>
          <w:trHeight w:val="300"/>
        </w:trPr>
        <w:tc>
          <w:tcPr>
            <w:tcW w:w="880" w:type="dxa"/>
            <w:tcBorders>
              <w:top w:val="nil"/>
              <w:left w:val="nil"/>
              <w:bottom w:val="nil"/>
              <w:right w:val="nil"/>
            </w:tcBorders>
            <w:shd w:val="clear" w:color="auto" w:fill="auto"/>
            <w:noWrap/>
            <w:vAlign w:val="center"/>
            <w:hideMark/>
          </w:tcPr>
          <w:p w14:paraId="549919F4"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6</w:t>
            </w:r>
          </w:p>
        </w:tc>
        <w:tc>
          <w:tcPr>
            <w:tcW w:w="820" w:type="dxa"/>
            <w:tcBorders>
              <w:top w:val="nil"/>
              <w:left w:val="nil"/>
              <w:bottom w:val="nil"/>
              <w:right w:val="nil"/>
            </w:tcBorders>
            <w:shd w:val="clear" w:color="auto" w:fill="auto"/>
            <w:noWrap/>
            <w:vAlign w:val="bottom"/>
            <w:hideMark/>
          </w:tcPr>
          <w:p w14:paraId="108598BC"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male</w:t>
            </w:r>
          </w:p>
        </w:tc>
        <w:tc>
          <w:tcPr>
            <w:tcW w:w="700" w:type="dxa"/>
            <w:tcBorders>
              <w:top w:val="nil"/>
              <w:left w:val="nil"/>
              <w:bottom w:val="nil"/>
              <w:right w:val="nil"/>
            </w:tcBorders>
            <w:shd w:val="clear" w:color="auto" w:fill="auto"/>
            <w:noWrap/>
            <w:vAlign w:val="bottom"/>
            <w:hideMark/>
          </w:tcPr>
          <w:p w14:paraId="704117C5"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22</w:t>
            </w:r>
          </w:p>
        </w:tc>
        <w:tc>
          <w:tcPr>
            <w:tcW w:w="880" w:type="dxa"/>
            <w:tcBorders>
              <w:top w:val="nil"/>
              <w:left w:val="nil"/>
              <w:bottom w:val="nil"/>
              <w:right w:val="nil"/>
            </w:tcBorders>
            <w:shd w:val="clear" w:color="auto" w:fill="auto"/>
            <w:noWrap/>
            <w:vAlign w:val="bottom"/>
            <w:hideMark/>
          </w:tcPr>
          <w:p w14:paraId="0C39D89B"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23</w:t>
            </w:r>
          </w:p>
        </w:tc>
        <w:tc>
          <w:tcPr>
            <w:tcW w:w="1600" w:type="dxa"/>
            <w:tcBorders>
              <w:top w:val="nil"/>
              <w:left w:val="nil"/>
              <w:bottom w:val="nil"/>
              <w:right w:val="nil"/>
            </w:tcBorders>
            <w:shd w:val="clear" w:color="auto" w:fill="auto"/>
            <w:noWrap/>
            <w:vAlign w:val="bottom"/>
            <w:hideMark/>
          </w:tcPr>
          <w:p w14:paraId="2237657D"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midfielder</w:t>
            </w:r>
          </w:p>
        </w:tc>
        <w:tc>
          <w:tcPr>
            <w:tcW w:w="1180" w:type="dxa"/>
            <w:tcBorders>
              <w:top w:val="nil"/>
              <w:left w:val="nil"/>
              <w:bottom w:val="nil"/>
              <w:right w:val="nil"/>
            </w:tcBorders>
            <w:shd w:val="clear" w:color="auto" w:fill="auto"/>
            <w:noWrap/>
            <w:vAlign w:val="bottom"/>
            <w:hideMark/>
          </w:tcPr>
          <w:p w14:paraId="423D2235"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right</w:t>
            </w:r>
          </w:p>
        </w:tc>
        <w:tc>
          <w:tcPr>
            <w:tcW w:w="1340" w:type="dxa"/>
            <w:tcBorders>
              <w:top w:val="nil"/>
              <w:left w:val="nil"/>
              <w:bottom w:val="nil"/>
              <w:right w:val="nil"/>
            </w:tcBorders>
            <w:shd w:val="clear" w:color="auto" w:fill="auto"/>
            <w:noWrap/>
            <w:vAlign w:val="bottom"/>
            <w:hideMark/>
          </w:tcPr>
          <w:p w14:paraId="3E563521"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Pr>
                <w:rFonts w:ascii="Calibri" w:eastAsia="Times New Roman" w:hAnsi="Calibri" w:cs="Times New Roman"/>
                <w:color w:val="000000"/>
                <w:lang w:eastAsia="pl-PL"/>
              </w:rPr>
              <w:t>yes</w:t>
            </w:r>
          </w:p>
        </w:tc>
        <w:tc>
          <w:tcPr>
            <w:tcW w:w="2100" w:type="dxa"/>
            <w:tcBorders>
              <w:top w:val="nil"/>
              <w:left w:val="nil"/>
              <w:bottom w:val="nil"/>
              <w:right w:val="nil"/>
            </w:tcBorders>
            <w:shd w:val="clear" w:color="auto" w:fill="auto"/>
            <w:noWrap/>
            <w:vAlign w:val="bottom"/>
            <w:hideMark/>
          </w:tcPr>
          <w:p w14:paraId="0C40FFB8"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10</w:t>
            </w:r>
          </w:p>
        </w:tc>
      </w:tr>
      <w:tr w:rsidR="00EC4FFF" w:rsidRPr="004036AF" w14:paraId="0044F1CB" w14:textId="77777777" w:rsidTr="006B61AC">
        <w:trPr>
          <w:trHeight w:val="300"/>
        </w:trPr>
        <w:tc>
          <w:tcPr>
            <w:tcW w:w="880" w:type="dxa"/>
            <w:tcBorders>
              <w:top w:val="nil"/>
              <w:left w:val="nil"/>
              <w:bottom w:val="nil"/>
              <w:right w:val="nil"/>
            </w:tcBorders>
            <w:shd w:val="clear" w:color="auto" w:fill="auto"/>
            <w:noWrap/>
            <w:vAlign w:val="center"/>
            <w:hideMark/>
          </w:tcPr>
          <w:p w14:paraId="4F69C076"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7</w:t>
            </w:r>
          </w:p>
        </w:tc>
        <w:tc>
          <w:tcPr>
            <w:tcW w:w="820" w:type="dxa"/>
            <w:tcBorders>
              <w:top w:val="nil"/>
              <w:left w:val="nil"/>
              <w:bottom w:val="nil"/>
              <w:right w:val="nil"/>
            </w:tcBorders>
            <w:shd w:val="clear" w:color="auto" w:fill="auto"/>
            <w:noWrap/>
            <w:vAlign w:val="bottom"/>
            <w:hideMark/>
          </w:tcPr>
          <w:p w14:paraId="27094842"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male</w:t>
            </w:r>
          </w:p>
        </w:tc>
        <w:tc>
          <w:tcPr>
            <w:tcW w:w="700" w:type="dxa"/>
            <w:tcBorders>
              <w:top w:val="nil"/>
              <w:left w:val="nil"/>
              <w:bottom w:val="nil"/>
              <w:right w:val="nil"/>
            </w:tcBorders>
            <w:shd w:val="clear" w:color="auto" w:fill="auto"/>
            <w:noWrap/>
            <w:vAlign w:val="bottom"/>
            <w:hideMark/>
          </w:tcPr>
          <w:p w14:paraId="2A25DA34"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27</w:t>
            </w:r>
          </w:p>
        </w:tc>
        <w:tc>
          <w:tcPr>
            <w:tcW w:w="880" w:type="dxa"/>
            <w:tcBorders>
              <w:top w:val="nil"/>
              <w:left w:val="nil"/>
              <w:bottom w:val="nil"/>
              <w:right w:val="nil"/>
            </w:tcBorders>
            <w:shd w:val="clear" w:color="auto" w:fill="auto"/>
            <w:noWrap/>
            <w:vAlign w:val="bottom"/>
            <w:hideMark/>
          </w:tcPr>
          <w:p w14:paraId="0930C8A6"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24</w:t>
            </w:r>
          </w:p>
        </w:tc>
        <w:tc>
          <w:tcPr>
            <w:tcW w:w="1600" w:type="dxa"/>
            <w:tcBorders>
              <w:top w:val="nil"/>
              <w:left w:val="nil"/>
              <w:bottom w:val="nil"/>
              <w:right w:val="nil"/>
            </w:tcBorders>
            <w:shd w:val="clear" w:color="auto" w:fill="auto"/>
            <w:noWrap/>
            <w:vAlign w:val="bottom"/>
            <w:hideMark/>
          </w:tcPr>
          <w:p w14:paraId="2F8E2DEC"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midfielder</w:t>
            </w:r>
          </w:p>
        </w:tc>
        <w:tc>
          <w:tcPr>
            <w:tcW w:w="1180" w:type="dxa"/>
            <w:tcBorders>
              <w:top w:val="nil"/>
              <w:left w:val="nil"/>
              <w:bottom w:val="nil"/>
              <w:right w:val="nil"/>
            </w:tcBorders>
            <w:shd w:val="clear" w:color="auto" w:fill="auto"/>
            <w:noWrap/>
            <w:vAlign w:val="bottom"/>
            <w:hideMark/>
          </w:tcPr>
          <w:p w14:paraId="7C847140"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right</w:t>
            </w:r>
          </w:p>
        </w:tc>
        <w:tc>
          <w:tcPr>
            <w:tcW w:w="1340" w:type="dxa"/>
            <w:tcBorders>
              <w:top w:val="nil"/>
              <w:left w:val="nil"/>
              <w:bottom w:val="nil"/>
              <w:right w:val="nil"/>
            </w:tcBorders>
            <w:shd w:val="clear" w:color="auto" w:fill="auto"/>
            <w:noWrap/>
            <w:vAlign w:val="bottom"/>
            <w:hideMark/>
          </w:tcPr>
          <w:p w14:paraId="7FF99F21"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Pr>
                <w:rFonts w:ascii="Calibri" w:eastAsia="Times New Roman" w:hAnsi="Calibri" w:cs="Times New Roman"/>
                <w:color w:val="000000"/>
                <w:lang w:eastAsia="pl-PL"/>
              </w:rPr>
              <w:t>yes</w:t>
            </w:r>
          </w:p>
        </w:tc>
        <w:tc>
          <w:tcPr>
            <w:tcW w:w="2100" w:type="dxa"/>
            <w:tcBorders>
              <w:top w:val="nil"/>
              <w:left w:val="nil"/>
              <w:bottom w:val="nil"/>
              <w:right w:val="nil"/>
            </w:tcBorders>
            <w:shd w:val="clear" w:color="auto" w:fill="auto"/>
            <w:noWrap/>
            <w:vAlign w:val="bottom"/>
            <w:hideMark/>
          </w:tcPr>
          <w:p w14:paraId="265AB0FF"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10</w:t>
            </w:r>
          </w:p>
        </w:tc>
      </w:tr>
      <w:tr w:rsidR="00EC4FFF" w:rsidRPr="004036AF" w14:paraId="293530D3" w14:textId="77777777" w:rsidTr="006B61AC">
        <w:trPr>
          <w:trHeight w:val="300"/>
        </w:trPr>
        <w:tc>
          <w:tcPr>
            <w:tcW w:w="880" w:type="dxa"/>
            <w:tcBorders>
              <w:top w:val="nil"/>
              <w:left w:val="nil"/>
              <w:bottom w:val="nil"/>
              <w:right w:val="nil"/>
            </w:tcBorders>
            <w:shd w:val="clear" w:color="auto" w:fill="auto"/>
            <w:noWrap/>
            <w:vAlign w:val="center"/>
            <w:hideMark/>
          </w:tcPr>
          <w:p w14:paraId="6FFCB356"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8</w:t>
            </w:r>
          </w:p>
        </w:tc>
        <w:tc>
          <w:tcPr>
            <w:tcW w:w="820" w:type="dxa"/>
            <w:tcBorders>
              <w:top w:val="nil"/>
              <w:left w:val="nil"/>
              <w:bottom w:val="nil"/>
              <w:right w:val="nil"/>
            </w:tcBorders>
            <w:shd w:val="clear" w:color="auto" w:fill="auto"/>
            <w:noWrap/>
            <w:vAlign w:val="bottom"/>
            <w:hideMark/>
          </w:tcPr>
          <w:p w14:paraId="4C78EC18"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male</w:t>
            </w:r>
          </w:p>
        </w:tc>
        <w:tc>
          <w:tcPr>
            <w:tcW w:w="700" w:type="dxa"/>
            <w:tcBorders>
              <w:top w:val="nil"/>
              <w:left w:val="nil"/>
              <w:bottom w:val="nil"/>
              <w:right w:val="nil"/>
            </w:tcBorders>
            <w:shd w:val="clear" w:color="auto" w:fill="auto"/>
            <w:noWrap/>
            <w:vAlign w:val="bottom"/>
            <w:hideMark/>
          </w:tcPr>
          <w:p w14:paraId="560634B3"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18</w:t>
            </w:r>
          </w:p>
        </w:tc>
        <w:tc>
          <w:tcPr>
            <w:tcW w:w="880" w:type="dxa"/>
            <w:tcBorders>
              <w:top w:val="nil"/>
              <w:left w:val="nil"/>
              <w:bottom w:val="nil"/>
              <w:right w:val="nil"/>
            </w:tcBorders>
            <w:shd w:val="clear" w:color="auto" w:fill="auto"/>
            <w:noWrap/>
            <w:vAlign w:val="bottom"/>
            <w:hideMark/>
          </w:tcPr>
          <w:p w14:paraId="4720AB04"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24</w:t>
            </w:r>
          </w:p>
        </w:tc>
        <w:tc>
          <w:tcPr>
            <w:tcW w:w="1600" w:type="dxa"/>
            <w:tcBorders>
              <w:top w:val="nil"/>
              <w:left w:val="nil"/>
              <w:bottom w:val="nil"/>
              <w:right w:val="nil"/>
            </w:tcBorders>
            <w:shd w:val="clear" w:color="auto" w:fill="auto"/>
            <w:noWrap/>
            <w:vAlign w:val="bottom"/>
            <w:hideMark/>
          </w:tcPr>
          <w:p w14:paraId="4B4D992F"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midfielder</w:t>
            </w:r>
          </w:p>
        </w:tc>
        <w:tc>
          <w:tcPr>
            <w:tcW w:w="1180" w:type="dxa"/>
            <w:tcBorders>
              <w:top w:val="nil"/>
              <w:left w:val="nil"/>
              <w:bottom w:val="nil"/>
              <w:right w:val="nil"/>
            </w:tcBorders>
            <w:shd w:val="clear" w:color="auto" w:fill="auto"/>
            <w:noWrap/>
            <w:vAlign w:val="bottom"/>
            <w:hideMark/>
          </w:tcPr>
          <w:p w14:paraId="7AFA8D04"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left</w:t>
            </w:r>
          </w:p>
        </w:tc>
        <w:tc>
          <w:tcPr>
            <w:tcW w:w="1340" w:type="dxa"/>
            <w:tcBorders>
              <w:top w:val="nil"/>
              <w:left w:val="nil"/>
              <w:bottom w:val="nil"/>
              <w:right w:val="nil"/>
            </w:tcBorders>
            <w:shd w:val="clear" w:color="auto" w:fill="auto"/>
            <w:noWrap/>
            <w:vAlign w:val="bottom"/>
            <w:hideMark/>
          </w:tcPr>
          <w:p w14:paraId="7900D6B3"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Pr>
                <w:rFonts w:ascii="Calibri" w:eastAsia="Times New Roman" w:hAnsi="Calibri" w:cs="Times New Roman"/>
                <w:color w:val="000000"/>
                <w:lang w:eastAsia="pl-PL"/>
              </w:rPr>
              <w:t>no</w:t>
            </w:r>
          </w:p>
        </w:tc>
        <w:tc>
          <w:tcPr>
            <w:tcW w:w="2100" w:type="dxa"/>
            <w:tcBorders>
              <w:top w:val="nil"/>
              <w:left w:val="nil"/>
              <w:bottom w:val="nil"/>
              <w:right w:val="nil"/>
            </w:tcBorders>
            <w:shd w:val="clear" w:color="auto" w:fill="auto"/>
            <w:noWrap/>
            <w:vAlign w:val="bottom"/>
            <w:hideMark/>
          </w:tcPr>
          <w:p w14:paraId="303981CC"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8</w:t>
            </w:r>
          </w:p>
        </w:tc>
      </w:tr>
      <w:tr w:rsidR="00EC4FFF" w:rsidRPr="004036AF" w14:paraId="0D280D4F" w14:textId="77777777" w:rsidTr="006B61AC">
        <w:trPr>
          <w:trHeight w:val="300"/>
        </w:trPr>
        <w:tc>
          <w:tcPr>
            <w:tcW w:w="880" w:type="dxa"/>
            <w:tcBorders>
              <w:top w:val="nil"/>
              <w:left w:val="nil"/>
              <w:bottom w:val="nil"/>
              <w:right w:val="nil"/>
            </w:tcBorders>
            <w:shd w:val="clear" w:color="auto" w:fill="auto"/>
            <w:noWrap/>
            <w:vAlign w:val="center"/>
            <w:hideMark/>
          </w:tcPr>
          <w:p w14:paraId="789ECD97"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9</w:t>
            </w:r>
          </w:p>
        </w:tc>
        <w:tc>
          <w:tcPr>
            <w:tcW w:w="820" w:type="dxa"/>
            <w:tcBorders>
              <w:top w:val="nil"/>
              <w:left w:val="nil"/>
              <w:bottom w:val="nil"/>
              <w:right w:val="nil"/>
            </w:tcBorders>
            <w:shd w:val="clear" w:color="auto" w:fill="auto"/>
            <w:noWrap/>
            <w:vAlign w:val="bottom"/>
            <w:hideMark/>
          </w:tcPr>
          <w:p w14:paraId="7F4209DF"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male</w:t>
            </w:r>
          </w:p>
        </w:tc>
        <w:tc>
          <w:tcPr>
            <w:tcW w:w="700" w:type="dxa"/>
            <w:tcBorders>
              <w:top w:val="nil"/>
              <w:left w:val="nil"/>
              <w:bottom w:val="nil"/>
              <w:right w:val="nil"/>
            </w:tcBorders>
            <w:shd w:val="clear" w:color="auto" w:fill="auto"/>
            <w:noWrap/>
            <w:vAlign w:val="bottom"/>
            <w:hideMark/>
          </w:tcPr>
          <w:p w14:paraId="23819F22"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19</w:t>
            </w:r>
          </w:p>
        </w:tc>
        <w:tc>
          <w:tcPr>
            <w:tcW w:w="880" w:type="dxa"/>
            <w:tcBorders>
              <w:top w:val="nil"/>
              <w:left w:val="nil"/>
              <w:bottom w:val="nil"/>
              <w:right w:val="nil"/>
            </w:tcBorders>
            <w:shd w:val="clear" w:color="auto" w:fill="auto"/>
            <w:noWrap/>
            <w:vAlign w:val="bottom"/>
            <w:hideMark/>
          </w:tcPr>
          <w:p w14:paraId="3EC29D37"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24</w:t>
            </w:r>
          </w:p>
        </w:tc>
        <w:tc>
          <w:tcPr>
            <w:tcW w:w="1600" w:type="dxa"/>
            <w:tcBorders>
              <w:top w:val="nil"/>
              <w:left w:val="nil"/>
              <w:bottom w:val="nil"/>
              <w:right w:val="nil"/>
            </w:tcBorders>
            <w:shd w:val="clear" w:color="auto" w:fill="auto"/>
            <w:noWrap/>
            <w:vAlign w:val="bottom"/>
            <w:hideMark/>
          </w:tcPr>
          <w:p w14:paraId="4B1613DB"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midfielder</w:t>
            </w:r>
          </w:p>
        </w:tc>
        <w:tc>
          <w:tcPr>
            <w:tcW w:w="1180" w:type="dxa"/>
            <w:tcBorders>
              <w:top w:val="nil"/>
              <w:left w:val="nil"/>
              <w:bottom w:val="nil"/>
              <w:right w:val="nil"/>
            </w:tcBorders>
            <w:shd w:val="clear" w:color="auto" w:fill="auto"/>
            <w:noWrap/>
            <w:vAlign w:val="bottom"/>
            <w:hideMark/>
          </w:tcPr>
          <w:p w14:paraId="2904A056"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left</w:t>
            </w:r>
          </w:p>
        </w:tc>
        <w:tc>
          <w:tcPr>
            <w:tcW w:w="1340" w:type="dxa"/>
            <w:tcBorders>
              <w:top w:val="nil"/>
              <w:left w:val="nil"/>
              <w:bottom w:val="nil"/>
              <w:right w:val="nil"/>
            </w:tcBorders>
            <w:shd w:val="clear" w:color="auto" w:fill="auto"/>
            <w:noWrap/>
            <w:vAlign w:val="bottom"/>
            <w:hideMark/>
          </w:tcPr>
          <w:p w14:paraId="3187CCAC"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Pr>
                <w:rFonts w:ascii="Calibri" w:eastAsia="Times New Roman" w:hAnsi="Calibri" w:cs="Times New Roman"/>
                <w:color w:val="000000"/>
                <w:lang w:eastAsia="pl-PL"/>
              </w:rPr>
              <w:t>yes</w:t>
            </w:r>
          </w:p>
        </w:tc>
        <w:tc>
          <w:tcPr>
            <w:tcW w:w="2100" w:type="dxa"/>
            <w:tcBorders>
              <w:top w:val="nil"/>
              <w:left w:val="nil"/>
              <w:bottom w:val="nil"/>
              <w:right w:val="nil"/>
            </w:tcBorders>
            <w:shd w:val="clear" w:color="auto" w:fill="auto"/>
            <w:noWrap/>
            <w:vAlign w:val="bottom"/>
            <w:hideMark/>
          </w:tcPr>
          <w:p w14:paraId="41C3BCA0"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11</w:t>
            </w:r>
          </w:p>
        </w:tc>
      </w:tr>
      <w:tr w:rsidR="00EC4FFF" w:rsidRPr="004036AF" w14:paraId="64C3B5E7" w14:textId="77777777" w:rsidTr="006B61AC">
        <w:trPr>
          <w:trHeight w:val="300"/>
        </w:trPr>
        <w:tc>
          <w:tcPr>
            <w:tcW w:w="880" w:type="dxa"/>
            <w:tcBorders>
              <w:top w:val="nil"/>
              <w:left w:val="nil"/>
              <w:bottom w:val="nil"/>
              <w:right w:val="nil"/>
            </w:tcBorders>
            <w:shd w:val="clear" w:color="auto" w:fill="auto"/>
            <w:noWrap/>
            <w:vAlign w:val="center"/>
            <w:hideMark/>
          </w:tcPr>
          <w:p w14:paraId="5493589B"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10</w:t>
            </w:r>
          </w:p>
        </w:tc>
        <w:tc>
          <w:tcPr>
            <w:tcW w:w="820" w:type="dxa"/>
            <w:tcBorders>
              <w:top w:val="nil"/>
              <w:left w:val="nil"/>
              <w:bottom w:val="nil"/>
              <w:right w:val="nil"/>
            </w:tcBorders>
            <w:shd w:val="clear" w:color="auto" w:fill="auto"/>
            <w:noWrap/>
            <w:vAlign w:val="bottom"/>
            <w:hideMark/>
          </w:tcPr>
          <w:p w14:paraId="33BB0209"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male</w:t>
            </w:r>
          </w:p>
        </w:tc>
        <w:tc>
          <w:tcPr>
            <w:tcW w:w="700" w:type="dxa"/>
            <w:tcBorders>
              <w:top w:val="nil"/>
              <w:left w:val="nil"/>
              <w:bottom w:val="nil"/>
              <w:right w:val="nil"/>
            </w:tcBorders>
            <w:shd w:val="clear" w:color="auto" w:fill="auto"/>
            <w:noWrap/>
            <w:vAlign w:val="bottom"/>
            <w:hideMark/>
          </w:tcPr>
          <w:p w14:paraId="2849D0F0"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17</w:t>
            </w:r>
          </w:p>
        </w:tc>
        <w:tc>
          <w:tcPr>
            <w:tcW w:w="880" w:type="dxa"/>
            <w:tcBorders>
              <w:top w:val="nil"/>
              <w:left w:val="nil"/>
              <w:bottom w:val="nil"/>
              <w:right w:val="nil"/>
            </w:tcBorders>
            <w:shd w:val="clear" w:color="auto" w:fill="auto"/>
            <w:noWrap/>
            <w:vAlign w:val="bottom"/>
            <w:hideMark/>
          </w:tcPr>
          <w:p w14:paraId="32E14D79"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20</w:t>
            </w:r>
          </w:p>
        </w:tc>
        <w:tc>
          <w:tcPr>
            <w:tcW w:w="1600" w:type="dxa"/>
            <w:tcBorders>
              <w:top w:val="nil"/>
              <w:left w:val="nil"/>
              <w:bottom w:val="nil"/>
              <w:right w:val="nil"/>
            </w:tcBorders>
            <w:shd w:val="clear" w:color="auto" w:fill="auto"/>
            <w:noWrap/>
            <w:vAlign w:val="bottom"/>
            <w:hideMark/>
          </w:tcPr>
          <w:p w14:paraId="0865DCF9"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midfielder</w:t>
            </w:r>
          </w:p>
        </w:tc>
        <w:tc>
          <w:tcPr>
            <w:tcW w:w="1180" w:type="dxa"/>
            <w:tcBorders>
              <w:top w:val="nil"/>
              <w:left w:val="nil"/>
              <w:bottom w:val="nil"/>
              <w:right w:val="nil"/>
            </w:tcBorders>
            <w:shd w:val="clear" w:color="auto" w:fill="auto"/>
            <w:noWrap/>
            <w:vAlign w:val="bottom"/>
            <w:hideMark/>
          </w:tcPr>
          <w:p w14:paraId="46DAF0E8"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left</w:t>
            </w:r>
          </w:p>
        </w:tc>
        <w:tc>
          <w:tcPr>
            <w:tcW w:w="1340" w:type="dxa"/>
            <w:tcBorders>
              <w:top w:val="nil"/>
              <w:left w:val="nil"/>
              <w:bottom w:val="nil"/>
              <w:right w:val="nil"/>
            </w:tcBorders>
            <w:shd w:val="clear" w:color="auto" w:fill="auto"/>
            <w:noWrap/>
            <w:vAlign w:val="bottom"/>
            <w:hideMark/>
          </w:tcPr>
          <w:p w14:paraId="5858D3D0"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Pr>
                <w:rFonts w:ascii="Calibri" w:eastAsia="Times New Roman" w:hAnsi="Calibri" w:cs="Times New Roman"/>
                <w:color w:val="000000"/>
                <w:lang w:eastAsia="pl-PL"/>
              </w:rPr>
              <w:t>yes</w:t>
            </w:r>
          </w:p>
        </w:tc>
        <w:tc>
          <w:tcPr>
            <w:tcW w:w="2100" w:type="dxa"/>
            <w:tcBorders>
              <w:top w:val="nil"/>
              <w:left w:val="nil"/>
              <w:bottom w:val="nil"/>
              <w:right w:val="nil"/>
            </w:tcBorders>
            <w:shd w:val="clear" w:color="auto" w:fill="auto"/>
            <w:noWrap/>
            <w:vAlign w:val="bottom"/>
            <w:hideMark/>
          </w:tcPr>
          <w:p w14:paraId="62C2C31A"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8</w:t>
            </w:r>
          </w:p>
        </w:tc>
      </w:tr>
      <w:tr w:rsidR="00EC4FFF" w:rsidRPr="004036AF" w14:paraId="0C101EF2" w14:textId="77777777" w:rsidTr="006B61AC">
        <w:trPr>
          <w:trHeight w:val="300"/>
        </w:trPr>
        <w:tc>
          <w:tcPr>
            <w:tcW w:w="880" w:type="dxa"/>
            <w:tcBorders>
              <w:top w:val="nil"/>
              <w:left w:val="nil"/>
              <w:bottom w:val="nil"/>
              <w:right w:val="nil"/>
            </w:tcBorders>
            <w:shd w:val="clear" w:color="auto" w:fill="auto"/>
            <w:noWrap/>
            <w:vAlign w:val="center"/>
            <w:hideMark/>
          </w:tcPr>
          <w:p w14:paraId="4326499E"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11</w:t>
            </w:r>
          </w:p>
        </w:tc>
        <w:tc>
          <w:tcPr>
            <w:tcW w:w="820" w:type="dxa"/>
            <w:tcBorders>
              <w:top w:val="nil"/>
              <w:left w:val="nil"/>
              <w:bottom w:val="nil"/>
              <w:right w:val="nil"/>
            </w:tcBorders>
            <w:shd w:val="clear" w:color="auto" w:fill="auto"/>
            <w:noWrap/>
            <w:vAlign w:val="bottom"/>
            <w:hideMark/>
          </w:tcPr>
          <w:p w14:paraId="2EE2FF0D"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male</w:t>
            </w:r>
          </w:p>
        </w:tc>
        <w:tc>
          <w:tcPr>
            <w:tcW w:w="700" w:type="dxa"/>
            <w:tcBorders>
              <w:top w:val="nil"/>
              <w:left w:val="nil"/>
              <w:bottom w:val="nil"/>
              <w:right w:val="nil"/>
            </w:tcBorders>
            <w:shd w:val="clear" w:color="auto" w:fill="auto"/>
            <w:noWrap/>
            <w:vAlign w:val="bottom"/>
            <w:hideMark/>
          </w:tcPr>
          <w:p w14:paraId="555F6898"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28</w:t>
            </w:r>
          </w:p>
        </w:tc>
        <w:tc>
          <w:tcPr>
            <w:tcW w:w="880" w:type="dxa"/>
            <w:tcBorders>
              <w:top w:val="nil"/>
              <w:left w:val="nil"/>
              <w:bottom w:val="nil"/>
              <w:right w:val="nil"/>
            </w:tcBorders>
            <w:shd w:val="clear" w:color="auto" w:fill="auto"/>
            <w:noWrap/>
            <w:vAlign w:val="bottom"/>
            <w:hideMark/>
          </w:tcPr>
          <w:p w14:paraId="483C6503"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22</w:t>
            </w:r>
          </w:p>
        </w:tc>
        <w:tc>
          <w:tcPr>
            <w:tcW w:w="1600" w:type="dxa"/>
            <w:tcBorders>
              <w:top w:val="nil"/>
              <w:left w:val="nil"/>
              <w:bottom w:val="nil"/>
              <w:right w:val="nil"/>
            </w:tcBorders>
            <w:shd w:val="clear" w:color="auto" w:fill="auto"/>
            <w:noWrap/>
            <w:vAlign w:val="bottom"/>
            <w:hideMark/>
          </w:tcPr>
          <w:p w14:paraId="4FFBFD1B"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midfielder</w:t>
            </w:r>
          </w:p>
        </w:tc>
        <w:tc>
          <w:tcPr>
            <w:tcW w:w="1180" w:type="dxa"/>
            <w:tcBorders>
              <w:top w:val="nil"/>
              <w:left w:val="nil"/>
              <w:bottom w:val="nil"/>
              <w:right w:val="nil"/>
            </w:tcBorders>
            <w:shd w:val="clear" w:color="auto" w:fill="auto"/>
            <w:noWrap/>
            <w:vAlign w:val="bottom"/>
            <w:hideMark/>
          </w:tcPr>
          <w:p w14:paraId="1129C68F"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right</w:t>
            </w:r>
          </w:p>
        </w:tc>
        <w:tc>
          <w:tcPr>
            <w:tcW w:w="1340" w:type="dxa"/>
            <w:tcBorders>
              <w:top w:val="nil"/>
              <w:left w:val="nil"/>
              <w:bottom w:val="nil"/>
              <w:right w:val="nil"/>
            </w:tcBorders>
            <w:shd w:val="clear" w:color="auto" w:fill="auto"/>
            <w:noWrap/>
            <w:vAlign w:val="bottom"/>
            <w:hideMark/>
          </w:tcPr>
          <w:p w14:paraId="0AB315F3"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Pr>
                <w:rFonts w:ascii="Calibri" w:eastAsia="Times New Roman" w:hAnsi="Calibri" w:cs="Times New Roman"/>
                <w:color w:val="000000"/>
                <w:lang w:eastAsia="pl-PL"/>
              </w:rPr>
              <w:t>no</w:t>
            </w:r>
          </w:p>
        </w:tc>
        <w:tc>
          <w:tcPr>
            <w:tcW w:w="2100" w:type="dxa"/>
            <w:tcBorders>
              <w:top w:val="nil"/>
              <w:left w:val="nil"/>
              <w:bottom w:val="nil"/>
              <w:right w:val="nil"/>
            </w:tcBorders>
            <w:shd w:val="clear" w:color="auto" w:fill="auto"/>
            <w:noWrap/>
            <w:vAlign w:val="bottom"/>
            <w:hideMark/>
          </w:tcPr>
          <w:p w14:paraId="135DAF05"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9</w:t>
            </w:r>
          </w:p>
        </w:tc>
      </w:tr>
      <w:tr w:rsidR="00EC4FFF" w:rsidRPr="004036AF" w14:paraId="5BA0B7B5" w14:textId="77777777" w:rsidTr="006B61AC">
        <w:trPr>
          <w:trHeight w:val="300"/>
        </w:trPr>
        <w:tc>
          <w:tcPr>
            <w:tcW w:w="880" w:type="dxa"/>
            <w:tcBorders>
              <w:top w:val="nil"/>
              <w:left w:val="nil"/>
              <w:bottom w:val="nil"/>
              <w:right w:val="nil"/>
            </w:tcBorders>
            <w:shd w:val="clear" w:color="auto" w:fill="auto"/>
            <w:noWrap/>
            <w:vAlign w:val="center"/>
            <w:hideMark/>
          </w:tcPr>
          <w:p w14:paraId="617FF25E"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12</w:t>
            </w:r>
          </w:p>
        </w:tc>
        <w:tc>
          <w:tcPr>
            <w:tcW w:w="820" w:type="dxa"/>
            <w:tcBorders>
              <w:top w:val="nil"/>
              <w:left w:val="nil"/>
              <w:bottom w:val="nil"/>
              <w:right w:val="nil"/>
            </w:tcBorders>
            <w:shd w:val="clear" w:color="auto" w:fill="auto"/>
            <w:noWrap/>
            <w:vAlign w:val="bottom"/>
            <w:hideMark/>
          </w:tcPr>
          <w:p w14:paraId="0481F2CB"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male</w:t>
            </w:r>
          </w:p>
        </w:tc>
        <w:tc>
          <w:tcPr>
            <w:tcW w:w="700" w:type="dxa"/>
            <w:tcBorders>
              <w:top w:val="nil"/>
              <w:left w:val="nil"/>
              <w:bottom w:val="nil"/>
              <w:right w:val="nil"/>
            </w:tcBorders>
            <w:shd w:val="clear" w:color="auto" w:fill="auto"/>
            <w:noWrap/>
            <w:vAlign w:val="bottom"/>
            <w:hideMark/>
          </w:tcPr>
          <w:p w14:paraId="084C05C7"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25</w:t>
            </w:r>
          </w:p>
        </w:tc>
        <w:tc>
          <w:tcPr>
            <w:tcW w:w="880" w:type="dxa"/>
            <w:tcBorders>
              <w:top w:val="nil"/>
              <w:left w:val="nil"/>
              <w:bottom w:val="nil"/>
              <w:right w:val="nil"/>
            </w:tcBorders>
            <w:shd w:val="clear" w:color="auto" w:fill="auto"/>
            <w:noWrap/>
            <w:vAlign w:val="bottom"/>
            <w:hideMark/>
          </w:tcPr>
          <w:p w14:paraId="67866753"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26</w:t>
            </w:r>
          </w:p>
        </w:tc>
        <w:tc>
          <w:tcPr>
            <w:tcW w:w="1600" w:type="dxa"/>
            <w:tcBorders>
              <w:top w:val="nil"/>
              <w:left w:val="nil"/>
              <w:bottom w:val="nil"/>
              <w:right w:val="nil"/>
            </w:tcBorders>
            <w:shd w:val="clear" w:color="auto" w:fill="auto"/>
            <w:noWrap/>
            <w:vAlign w:val="bottom"/>
            <w:hideMark/>
          </w:tcPr>
          <w:p w14:paraId="2A36D8A9"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midfielder</w:t>
            </w:r>
          </w:p>
        </w:tc>
        <w:tc>
          <w:tcPr>
            <w:tcW w:w="1180" w:type="dxa"/>
            <w:tcBorders>
              <w:top w:val="nil"/>
              <w:left w:val="nil"/>
              <w:bottom w:val="nil"/>
              <w:right w:val="nil"/>
            </w:tcBorders>
            <w:shd w:val="clear" w:color="auto" w:fill="auto"/>
            <w:noWrap/>
            <w:vAlign w:val="bottom"/>
            <w:hideMark/>
          </w:tcPr>
          <w:p w14:paraId="15228864"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right</w:t>
            </w:r>
          </w:p>
        </w:tc>
        <w:tc>
          <w:tcPr>
            <w:tcW w:w="1340" w:type="dxa"/>
            <w:tcBorders>
              <w:top w:val="nil"/>
              <w:left w:val="nil"/>
              <w:bottom w:val="nil"/>
              <w:right w:val="nil"/>
            </w:tcBorders>
            <w:shd w:val="clear" w:color="auto" w:fill="auto"/>
            <w:noWrap/>
            <w:vAlign w:val="bottom"/>
            <w:hideMark/>
          </w:tcPr>
          <w:p w14:paraId="68D71242"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Pr>
                <w:rFonts w:ascii="Calibri" w:eastAsia="Times New Roman" w:hAnsi="Calibri" w:cs="Times New Roman"/>
                <w:color w:val="000000"/>
                <w:lang w:eastAsia="pl-PL"/>
              </w:rPr>
              <w:t>yes</w:t>
            </w:r>
          </w:p>
        </w:tc>
        <w:tc>
          <w:tcPr>
            <w:tcW w:w="2100" w:type="dxa"/>
            <w:tcBorders>
              <w:top w:val="nil"/>
              <w:left w:val="nil"/>
              <w:bottom w:val="nil"/>
              <w:right w:val="nil"/>
            </w:tcBorders>
            <w:shd w:val="clear" w:color="auto" w:fill="auto"/>
            <w:noWrap/>
            <w:vAlign w:val="bottom"/>
            <w:hideMark/>
          </w:tcPr>
          <w:p w14:paraId="1DE45515"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8</w:t>
            </w:r>
          </w:p>
        </w:tc>
      </w:tr>
      <w:tr w:rsidR="00EC4FFF" w:rsidRPr="004036AF" w14:paraId="7BA98403" w14:textId="77777777" w:rsidTr="006B61AC">
        <w:trPr>
          <w:trHeight w:val="300"/>
        </w:trPr>
        <w:tc>
          <w:tcPr>
            <w:tcW w:w="880" w:type="dxa"/>
            <w:tcBorders>
              <w:top w:val="nil"/>
              <w:left w:val="nil"/>
              <w:bottom w:val="nil"/>
              <w:right w:val="nil"/>
            </w:tcBorders>
            <w:shd w:val="clear" w:color="auto" w:fill="auto"/>
            <w:noWrap/>
            <w:vAlign w:val="center"/>
            <w:hideMark/>
          </w:tcPr>
          <w:p w14:paraId="3FB4739F"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13</w:t>
            </w:r>
          </w:p>
        </w:tc>
        <w:tc>
          <w:tcPr>
            <w:tcW w:w="820" w:type="dxa"/>
            <w:tcBorders>
              <w:top w:val="nil"/>
              <w:left w:val="nil"/>
              <w:bottom w:val="nil"/>
              <w:right w:val="nil"/>
            </w:tcBorders>
            <w:shd w:val="clear" w:color="auto" w:fill="auto"/>
            <w:noWrap/>
            <w:vAlign w:val="bottom"/>
            <w:hideMark/>
          </w:tcPr>
          <w:p w14:paraId="08C45E93"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male</w:t>
            </w:r>
          </w:p>
        </w:tc>
        <w:tc>
          <w:tcPr>
            <w:tcW w:w="700" w:type="dxa"/>
            <w:tcBorders>
              <w:top w:val="nil"/>
              <w:left w:val="nil"/>
              <w:bottom w:val="nil"/>
              <w:right w:val="nil"/>
            </w:tcBorders>
            <w:shd w:val="clear" w:color="auto" w:fill="auto"/>
            <w:noWrap/>
            <w:vAlign w:val="bottom"/>
            <w:hideMark/>
          </w:tcPr>
          <w:p w14:paraId="706CEFA3"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25</w:t>
            </w:r>
          </w:p>
        </w:tc>
        <w:tc>
          <w:tcPr>
            <w:tcW w:w="880" w:type="dxa"/>
            <w:tcBorders>
              <w:top w:val="nil"/>
              <w:left w:val="nil"/>
              <w:bottom w:val="nil"/>
              <w:right w:val="nil"/>
            </w:tcBorders>
            <w:shd w:val="clear" w:color="auto" w:fill="auto"/>
            <w:noWrap/>
            <w:vAlign w:val="bottom"/>
            <w:hideMark/>
          </w:tcPr>
          <w:p w14:paraId="1E322FEF"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22</w:t>
            </w:r>
          </w:p>
        </w:tc>
        <w:tc>
          <w:tcPr>
            <w:tcW w:w="1600" w:type="dxa"/>
            <w:tcBorders>
              <w:top w:val="nil"/>
              <w:left w:val="nil"/>
              <w:bottom w:val="nil"/>
              <w:right w:val="nil"/>
            </w:tcBorders>
            <w:shd w:val="clear" w:color="auto" w:fill="auto"/>
            <w:noWrap/>
            <w:vAlign w:val="bottom"/>
            <w:hideMark/>
          </w:tcPr>
          <w:p w14:paraId="0665B713"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midfielder</w:t>
            </w:r>
          </w:p>
        </w:tc>
        <w:tc>
          <w:tcPr>
            <w:tcW w:w="1180" w:type="dxa"/>
            <w:tcBorders>
              <w:top w:val="nil"/>
              <w:left w:val="nil"/>
              <w:bottom w:val="nil"/>
              <w:right w:val="nil"/>
            </w:tcBorders>
            <w:shd w:val="clear" w:color="auto" w:fill="auto"/>
            <w:noWrap/>
            <w:vAlign w:val="bottom"/>
            <w:hideMark/>
          </w:tcPr>
          <w:p w14:paraId="072CFFD0"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left</w:t>
            </w:r>
          </w:p>
        </w:tc>
        <w:tc>
          <w:tcPr>
            <w:tcW w:w="1340" w:type="dxa"/>
            <w:tcBorders>
              <w:top w:val="nil"/>
              <w:left w:val="nil"/>
              <w:bottom w:val="nil"/>
              <w:right w:val="nil"/>
            </w:tcBorders>
            <w:shd w:val="clear" w:color="auto" w:fill="auto"/>
            <w:noWrap/>
            <w:vAlign w:val="bottom"/>
            <w:hideMark/>
          </w:tcPr>
          <w:p w14:paraId="645E92F8"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Pr>
                <w:rFonts w:ascii="Calibri" w:eastAsia="Times New Roman" w:hAnsi="Calibri" w:cs="Times New Roman"/>
                <w:color w:val="000000"/>
                <w:lang w:eastAsia="pl-PL"/>
              </w:rPr>
              <w:t>no</w:t>
            </w:r>
          </w:p>
        </w:tc>
        <w:tc>
          <w:tcPr>
            <w:tcW w:w="2100" w:type="dxa"/>
            <w:tcBorders>
              <w:top w:val="nil"/>
              <w:left w:val="nil"/>
              <w:bottom w:val="nil"/>
              <w:right w:val="nil"/>
            </w:tcBorders>
            <w:shd w:val="clear" w:color="auto" w:fill="auto"/>
            <w:noWrap/>
            <w:vAlign w:val="bottom"/>
            <w:hideMark/>
          </w:tcPr>
          <w:p w14:paraId="1B392E14"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10</w:t>
            </w:r>
          </w:p>
        </w:tc>
      </w:tr>
      <w:tr w:rsidR="00EC4FFF" w:rsidRPr="004036AF" w14:paraId="15576059" w14:textId="77777777" w:rsidTr="006B61AC">
        <w:trPr>
          <w:trHeight w:val="300"/>
        </w:trPr>
        <w:tc>
          <w:tcPr>
            <w:tcW w:w="880" w:type="dxa"/>
            <w:tcBorders>
              <w:top w:val="nil"/>
              <w:left w:val="nil"/>
              <w:bottom w:val="nil"/>
              <w:right w:val="nil"/>
            </w:tcBorders>
            <w:shd w:val="clear" w:color="auto" w:fill="auto"/>
            <w:noWrap/>
            <w:vAlign w:val="center"/>
            <w:hideMark/>
          </w:tcPr>
          <w:p w14:paraId="313A639F"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14</w:t>
            </w:r>
          </w:p>
        </w:tc>
        <w:tc>
          <w:tcPr>
            <w:tcW w:w="820" w:type="dxa"/>
            <w:tcBorders>
              <w:top w:val="nil"/>
              <w:left w:val="nil"/>
              <w:bottom w:val="nil"/>
              <w:right w:val="nil"/>
            </w:tcBorders>
            <w:shd w:val="clear" w:color="auto" w:fill="auto"/>
            <w:noWrap/>
            <w:vAlign w:val="bottom"/>
            <w:hideMark/>
          </w:tcPr>
          <w:p w14:paraId="280CA068"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male</w:t>
            </w:r>
          </w:p>
        </w:tc>
        <w:tc>
          <w:tcPr>
            <w:tcW w:w="700" w:type="dxa"/>
            <w:tcBorders>
              <w:top w:val="nil"/>
              <w:left w:val="nil"/>
              <w:bottom w:val="nil"/>
              <w:right w:val="nil"/>
            </w:tcBorders>
            <w:shd w:val="clear" w:color="auto" w:fill="auto"/>
            <w:noWrap/>
            <w:vAlign w:val="bottom"/>
            <w:hideMark/>
          </w:tcPr>
          <w:p w14:paraId="077280DD"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22</w:t>
            </w:r>
          </w:p>
        </w:tc>
        <w:tc>
          <w:tcPr>
            <w:tcW w:w="880" w:type="dxa"/>
            <w:tcBorders>
              <w:top w:val="nil"/>
              <w:left w:val="nil"/>
              <w:bottom w:val="nil"/>
              <w:right w:val="nil"/>
            </w:tcBorders>
            <w:shd w:val="clear" w:color="auto" w:fill="auto"/>
            <w:noWrap/>
            <w:vAlign w:val="bottom"/>
            <w:hideMark/>
          </w:tcPr>
          <w:p w14:paraId="4EC651E9"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24</w:t>
            </w:r>
          </w:p>
        </w:tc>
        <w:tc>
          <w:tcPr>
            <w:tcW w:w="1600" w:type="dxa"/>
            <w:tcBorders>
              <w:top w:val="nil"/>
              <w:left w:val="nil"/>
              <w:bottom w:val="nil"/>
              <w:right w:val="nil"/>
            </w:tcBorders>
            <w:shd w:val="clear" w:color="auto" w:fill="auto"/>
            <w:noWrap/>
            <w:vAlign w:val="bottom"/>
            <w:hideMark/>
          </w:tcPr>
          <w:p w14:paraId="29413741"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midfielder</w:t>
            </w:r>
          </w:p>
        </w:tc>
        <w:tc>
          <w:tcPr>
            <w:tcW w:w="1180" w:type="dxa"/>
            <w:tcBorders>
              <w:top w:val="nil"/>
              <w:left w:val="nil"/>
              <w:bottom w:val="nil"/>
              <w:right w:val="nil"/>
            </w:tcBorders>
            <w:shd w:val="clear" w:color="auto" w:fill="auto"/>
            <w:noWrap/>
            <w:vAlign w:val="bottom"/>
            <w:hideMark/>
          </w:tcPr>
          <w:p w14:paraId="45F189C3"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right</w:t>
            </w:r>
          </w:p>
        </w:tc>
        <w:tc>
          <w:tcPr>
            <w:tcW w:w="1340" w:type="dxa"/>
            <w:tcBorders>
              <w:top w:val="nil"/>
              <w:left w:val="nil"/>
              <w:bottom w:val="nil"/>
              <w:right w:val="nil"/>
            </w:tcBorders>
            <w:shd w:val="clear" w:color="auto" w:fill="auto"/>
            <w:noWrap/>
            <w:vAlign w:val="bottom"/>
            <w:hideMark/>
          </w:tcPr>
          <w:p w14:paraId="5E3ECCD0"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Pr>
                <w:rFonts w:ascii="Calibri" w:eastAsia="Times New Roman" w:hAnsi="Calibri" w:cs="Times New Roman"/>
                <w:color w:val="000000"/>
                <w:lang w:eastAsia="pl-PL"/>
              </w:rPr>
              <w:t>no</w:t>
            </w:r>
          </w:p>
        </w:tc>
        <w:tc>
          <w:tcPr>
            <w:tcW w:w="2100" w:type="dxa"/>
            <w:tcBorders>
              <w:top w:val="nil"/>
              <w:left w:val="nil"/>
              <w:bottom w:val="nil"/>
              <w:right w:val="nil"/>
            </w:tcBorders>
            <w:shd w:val="clear" w:color="auto" w:fill="auto"/>
            <w:noWrap/>
            <w:vAlign w:val="bottom"/>
            <w:hideMark/>
          </w:tcPr>
          <w:p w14:paraId="2A4432A3"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8</w:t>
            </w:r>
          </w:p>
        </w:tc>
      </w:tr>
      <w:tr w:rsidR="00EC4FFF" w:rsidRPr="004036AF" w14:paraId="0FE5CA84" w14:textId="77777777" w:rsidTr="006B61AC">
        <w:trPr>
          <w:trHeight w:val="300"/>
        </w:trPr>
        <w:tc>
          <w:tcPr>
            <w:tcW w:w="880" w:type="dxa"/>
            <w:tcBorders>
              <w:top w:val="nil"/>
              <w:left w:val="nil"/>
              <w:bottom w:val="nil"/>
              <w:right w:val="nil"/>
            </w:tcBorders>
            <w:shd w:val="clear" w:color="auto" w:fill="auto"/>
            <w:noWrap/>
            <w:vAlign w:val="center"/>
            <w:hideMark/>
          </w:tcPr>
          <w:p w14:paraId="5417F499"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15</w:t>
            </w:r>
          </w:p>
        </w:tc>
        <w:tc>
          <w:tcPr>
            <w:tcW w:w="820" w:type="dxa"/>
            <w:tcBorders>
              <w:top w:val="nil"/>
              <w:left w:val="nil"/>
              <w:bottom w:val="nil"/>
              <w:right w:val="nil"/>
            </w:tcBorders>
            <w:shd w:val="clear" w:color="auto" w:fill="auto"/>
            <w:noWrap/>
            <w:vAlign w:val="bottom"/>
            <w:hideMark/>
          </w:tcPr>
          <w:p w14:paraId="360F6940"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male</w:t>
            </w:r>
          </w:p>
        </w:tc>
        <w:tc>
          <w:tcPr>
            <w:tcW w:w="700" w:type="dxa"/>
            <w:tcBorders>
              <w:top w:val="nil"/>
              <w:left w:val="nil"/>
              <w:bottom w:val="nil"/>
              <w:right w:val="nil"/>
            </w:tcBorders>
            <w:shd w:val="clear" w:color="auto" w:fill="auto"/>
            <w:noWrap/>
            <w:vAlign w:val="bottom"/>
            <w:hideMark/>
          </w:tcPr>
          <w:p w14:paraId="084583A9"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34</w:t>
            </w:r>
          </w:p>
        </w:tc>
        <w:tc>
          <w:tcPr>
            <w:tcW w:w="880" w:type="dxa"/>
            <w:tcBorders>
              <w:top w:val="nil"/>
              <w:left w:val="nil"/>
              <w:bottom w:val="nil"/>
              <w:right w:val="nil"/>
            </w:tcBorders>
            <w:shd w:val="clear" w:color="auto" w:fill="auto"/>
            <w:noWrap/>
            <w:vAlign w:val="bottom"/>
            <w:hideMark/>
          </w:tcPr>
          <w:p w14:paraId="6DD8A1D7"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24</w:t>
            </w:r>
          </w:p>
        </w:tc>
        <w:tc>
          <w:tcPr>
            <w:tcW w:w="1600" w:type="dxa"/>
            <w:tcBorders>
              <w:top w:val="nil"/>
              <w:left w:val="nil"/>
              <w:bottom w:val="nil"/>
              <w:right w:val="nil"/>
            </w:tcBorders>
            <w:shd w:val="clear" w:color="auto" w:fill="auto"/>
            <w:noWrap/>
            <w:vAlign w:val="bottom"/>
            <w:hideMark/>
          </w:tcPr>
          <w:p w14:paraId="2AC59ED5"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defender</w:t>
            </w:r>
          </w:p>
        </w:tc>
        <w:tc>
          <w:tcPr>
            <w:tcW w:w="1180" w:type="dxa"/>
            <w:tcBorders>
              <w:top w:val="nil"/>
              <w:left w:val="nil"/>
              <w:bottom w:val="nil"/>
              <w:right w:val="nil"/>
            </w:tcBorders>
            <w:shd w:val="clear" w:color="auto" w:fill="auto"/>
            <w:noWrap/>
            <w:vAlign w:val="bottom"/>
            <w:hideMark/>
          </w:tcPr>
          <w:p w14:paraId="7A6B103E"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left</w:t>
            </w:r>
          </w:p>
        </w:tc>
        <w:tc>
          <w:tcPr>
            <w:tcW w:w="1340" w:type="dxa"/>
            <w:tcBorders>
              <w:top w:val="nil"/>
              <w:left w:val="nil"/>
              <w:bottom w:val="nil"/>
              <w:right w:val="nil"/>
            </w:tcBorders>
            <w:shd w:val="clear" w:color="auto" w:fill="auto"/>
            <w:noWrap/>
            <w:vAlign w:val="bottom"/>
            <w:hideMark/>
          </w:tcPr>
          <w:p w14:paraId="785B0392"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Pr>
                <w:rFonts w:ascii="Calibri" w:eastAsia="Times New Roman" w:hAnsi="Calibri" w:cs="Times New Roman"/>
                <w:color w:val="000000"/>
                <w:lang w:eastAsia="pl-PL"/>
              </w:rPr>
              <w:t>no</w:t>
            </w:r>
          </w:p>
        </w:tc>
        <w:tc>
          <w:tcPr>
            <w:tcW w:w="2100" w:type="dxa"/>
            <w:tcBorders>
              <w:top w:val="nil"/>
              <w:left w:val="nil"/>
              <w:bottom w:val="nil"/>
              <w:right w:val="nil"/>
            </w:tcBorders>
            <w:shd w:val="clear" w:color="auto" w:fill="auto"/>
            <w:noWrap/>
            <w:vAlign w:val="bottom"/>
            <w:hideMark/>
          </w:tcPr>
          <w:p w14:paraId="56A4EB5A"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12</w:t>
            </w:r>
          </w:p>
        </w:tc>
      </w:tr>
      <w:tr w:rsidR="00EC4FFF" w:rsidRPr="004036AF" w14:paraId="7D3395B5" w14:textId="77777777" w:rsidTr="006B61AC">
        <w:trPr>
          <w:trHeight w:val="300"/>
        </w:trPr>
        <w:tc>
          <w:tcPr>
            <w:tcW w:w="880" w:type="dxa"/>
            <w:tcBorders>
              <w:top w:val="nil"/>
              <w:left w:val="nil"/>
              <w:bottom w:val="nil"/>
              <w:right w:val="nil"/>
            </w:tcBorders>
            <w:shd w:val="clear" w:color="auto" w:fill="auto"/>
            <w:noWrap/>
            <w:vAlign w:val="center"/>
            <w:hideMark/>
          </w:tcPr>
          <w:p w14:paraId="7D96F63A"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16</w:t>
            </w:r>
          </w:p>
        </w:tc>
        <w:tc>
          <w:tcPr>
            <w:tcW w:w="820" w:type="dxa"/>
            <w:tcBorders>
              <w:top w:val="nil"/>
              <w:left w:val="nil"/>
              <w:bottom w:val="nil"/>
              <w:right w:val="nil"/>
            </w:tcBorders>
            <w:shd w:val="clear" w:color="auto" w:fill="auto"/>
            <w:noWrap/>
            <w:vAlign w:val="bottom"/>
            <w:hideMark/>
          </w:tcPr>
          <w:p w14:paraId="23710BD4"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male</w:t>
            </w:r>
          </w:p>
        </w:tc>
        <w:tc>
          <w:tcPr>
            <w:tcW w:w="700" w:type="dxa"/>
            <w:tcBorders>
              <w:top w:val="nil"/>
              <w:left w:val="nil"/>
              <w:bottom w:val="nil"/>
              <w:right w:val="nil"/>
            </w:tcBorders>
            <w:shd w:val="clear" w:color="auto" w:fill="auto"/>
            <w:noWrap/>
            <w:vAlign w:val="bottom"/>
            <w:hideMark/>
          </w:tcPr>
          <w:p w14:paraId="42DF8820"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20</w:t>
            </w:r>
          </w:p>
        </w:tc>
        <w:tc>
          <w:tcPr>
            <w:tcW w:w="880" w:type="dxa"/>
            <w:tcBorders>
              <w:top w:val="nil"/>
              <w:left w:val="nil"/>
              <w:bottom w:val="nil"/>
              <w:right w:val="nil"/>
            </w:tcBorders>
            <w:shd w:val="clear" w:color="auto" w:fill="auto"/>
            <w:noWrap/>
            <w:vAlign w:val="bottom"/>
            <w:hideMark/>
          </w:tcPr>
          <w:p w14:paraId="147611BD"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25</w:t>
            </w:r>
          </w:p>
        </w:tc>
        <w:tc>
          <w:tcPr>
            <w:tcW w:w="1600" w:type="dxa"/>
            <w:tcBorders>
              <w:top w:val="nil"/>
              <w:left w:val="nil"/>
              <w:bottom w:val="nil"/>
              <w:right w:val="nil"/>
            </w:tcBorders>
            <w:shd w:val="clear" w:color="auto" w:fill="auto"/>
            <w:noWrap/>
            <w:vAlign w:val="bottom"/>
            <w:hideMark/>
          </w:tcPr>
          <w:p w14:paraId="10933889"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defender</w:t>
            </w:r>
          </w:p>
        </w:tc>
        <w:tc>
          <w:tcPr>
            <w:tcW w:w="1180" w:type="dxa"/>
            <w:tcBorders>
              <w:top w:val="nil"/>
              <w:left w:val="nil"/>
              <w:bottom w:val="nil"/>
              <w:right w:val="nil"/>
            </w:tcBorders>
            <w:shd w:val="clear" w:color="auto" w:fill="auto"/>
            <w:noWrap/>
            <w:vAlign w:val="bottom"/>
            <w:hideMark/>
          </w:tcPr>
          <w:p w14:paraId="7AEC8E12"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right</w:t>
            </w:r>
          </w:p>
        </w:tc>
        <w:tc>
          <w:tcPr>
            <w:tcW w:w="1340" w:type="dxa"/>
            <w:tcBorders>
              <w:top w:val="nil"/>
              <w:left w:val="nil"/>
              <w:bottom w:val="nil"/>
              <w:right w:val="nil"/>
            </w:tcBorders>
            <w:shd w:val="clear" w:color="auto" w:fill="auto"/>
            <w:noWrap/>
            <w:vAlign w:val="bottom"/>
            <w:hideMark/>
          </w:tcPr>
          <w:p w14:paraId="6013527B"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Pr>
                <w:rFonts w:ascii="Calibri" w:eastAsia="Times New Roman" w:hAnsi="Calibri" w:cs="Times New Roman"/>
                <w:color w:val="000000"/>
                <w:lang w:eastAsia="pl-PL"/>
              </w:rPr>
              <w:t>no</w:t>
            </w:r>
          </w:p>
        </w:tc>
        <w:tc>
          <w:tcPr>
            <w:tcW w:w="2100" w:type="dxa"/>
            <w:tcBorders>
              <w:top w:val="nil"/>
              <w:left w:val="nil"/>
              <w:bottom w:val="nil"/>
              <w:right w:val="nil"/>
            </w:tcBorders>
            <w:shd w:val="clear" w:color="auto" w:fill="auto"/>
            <w:noWrap/>
            <w:vAlign w:val="bottom"/>
            <w:hideMark/>
          </w:tcPr>
          <w:p w14:paraId="605021F5"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10</w:t>
            </w:r>
          </w:p>
        </w:tc>
      </w:tr>
      <w:tr w:rsidR="00EC4FFF" w:rsidRPr="004036AF" w14:paraId="16719F0B" w14:textId="77777777" w:rsidTr="006B61AC">
        <w:trPr>
          <w:trHeight w:val="300"/>
        </w:trPr>
        <w:tc>
          <w:tcPr>
            <w:tcW w:w="880" w:type="dxa"/>
            <w:tcBorders>
              <w:top w:val="nil"/>
              <w:left w:val="nil"/>
              <w:bottom w:val="nil"/>
              <w:right w:val="nil"/>
            </w:tcBorders>
            <w:shd w:val="clear" w:color="auto" w:fill="auto"/>
            <w:noWrap/>
            <w:vAlign w:val="center"/>
            <w:hideMark/>
          </w:tcPr>
          <w:p w14:paraId="3F033B90"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17</w:t>
            </w:r>
          </w:p>
        </w:tc>
        <w:tc>
          <w:tcPr>
            <w:tcW w:w="820" w:type="dxa"/>
            <w:tcBorders>
              <w:top w:val="nil"/>
              <w:left w:val="nil"/>
              <w:bottom w:val="nil"/>
              <w:right w:val="nil"/>
            </w:tcBorders>
            <w:shd w:val="clear" w:color="auto" w:fill="auto"/>
            <w:noWrap/>
            <w:vAlign w:val="bottom"/>
            <w:hideMark/>
          </w:tcPr>
          <w:p w14:paraId="7A10D20F"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male</w:t>
            </w:r>
          </w:p>
        </w:tc>
        <w:tc>
          <w:tcPr>
            <w:tcW w:w="700" w:type="dxa"/>
            <w:tcBorders>
              <w:top w:val="nil"/>
              <w:left w:val="nil"/>
              <w:bottom w:val="nil"/>
              <w:right w:val="nil"/>
            </w:tcBorders>
            <w:shd w:val="clear" w:color="auto" w:fill="auto"/>
            <w:noWrap/>
            <w:vAlign w:val="bottom"/>
            <w:hideMark/>
          </w:tcPr>
          <w:p w14:paraId="725785FA"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22</w:t>
            </w:r>
          </w:p>
        </w:tc>
        <w:tc>
          <w:tcPr>
            <w:tcW w:w="880" w:type="dxa"/>
            <w:tcBorders>
              <w:top w:val="nil"/>
              <w:left w:val="nil"/>
              <w:bottom w:val="nil"/>
              <w:right w:val="nil"/>
            </w:tcBorders>
            <w:shd w:val="clear" w:color="auto" w:fill="auto"/>
            <w:noWrap/>
            <w:vAlign w:val="bottom"/>
            <w:hideMark/>
          </w:tcPr>
          <w:p w14:paraId="22BBC3D4"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23</w:t>
            </w:r>
          </w:p>
        </w:tc>
        <w:tc>
          <w:tcPr>
            <w:tcW w:w="1600" w:type="dxa"/>
            <w:tcBorders>
              <w:top w:val="nil"/>
              <w:left w:val="nil"/>
              <w:bottom w:val="nil"/>
              <w:right w:val="nil"/>
            </w:tcBorders>
            <w:shd w:val="clear" w:color="auto" w:fill="auto"/>
            <w:noWrap/>
            <w:vAlign w:val="bottom"/>
            <w:hideMark/>
          </w:tcPr>
          <w:p w14:paraId="1854672C"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defender</w:t>
            </w:r>
          </w:p>
        </w:tc>
        <w:tc>
          <w:tcPr>
            <w:tcW w:w="1180" w:type="dxa"/>
            <w:tcBorders>
              <w:top w:val="nil"/>
              <w:left w:val="nil"/>
              <w:bottom w:val="nil"/>
              <w:right w:val="nil"/>
            </w:tcBorders>
            <w:shd w:val="clear" w:color="auto" w:fill="auto"/>
            <w:noWrap/>
            <w:vAlign w:val="bottom"/>
            <w:hideMark/>
          </w:tcPr>
          <w:p w14:paraId="7906BD93"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left</w:t>
            </w:r>
          </w:p>
        </w:tc>
        <w:tc>
          <w:tcPr>
            <w:tcW w:w="1340" w:type="dxa"/>
            <w:tcBorders>
              <w:top w:val="nil"/>
              <w:left w:val="nil"/>
              <w:bottom w:val="nil"/>
              <w:right w:val="nil"/>
            </w:tcBorders>
            <w:shd w:val="clear" w:color="auto" w:fill="auto"/>
            <w:noWrap/>
            <w:vAlign w:val="bottom"/>
            <w:hideMark/>
          </w:tcPr>
          <w:p w14:paraId="12A3B242"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Pr>
                <w:rFonts w:ascii="Calibri" w:eastAsia="Times New Roman" w:hAnsi="Calibri" w:cs="Times New Roman"/>
                <w:color w:val="000000"/>
                <w:lang w:eastAsia="pl-PL"/>
              </w:rPr>
              <w:t>yes</w:t>
            </w:r>
          </w:p>
        </w:tc>
        <w:tc>
          <w:tcPr>
            <w:tcW w:w="2100" w:type="dxa"/>
            <w:tcBorders>
              <w:top w:val="nil"/>
              <w:left w:val="nil"/>
              <w:bottom w:val="nil"/>
              <w:right w:val="nil"/>
            </w:tcBorders>
            <w:shd w:val="clear" w:color="auto" w:fill="auto"/>
            <w:noWrap/>
            <w:vAlign w:val="bottom"/>
            <w:hideMark/>
          </w:tcPr>
          <w:p w14:paraId="2CFA3936"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10</w:t>
            </w:r>
          </w:p>
        </w:tc>
      </w:tr>
      <w:tr w:rsidR="00EC4FFF" w:rsidRPr="004036AF" w14:paraId="28C5D486" w14:textId="77777777" w:rsidTr="006B61AC">
        <w:trPr>
          <w:trHeight w:val="300"/>
        </w:trPr>
        <w:tc>
          <w:tcPr>
            <w:tcW w:w="880" w:type="dxa"/>
            <w:tcBorders>
              <w:top w:val="nil"/>
              <w:left w:val="nil"/>
              <w:bottom w:val="nil"/>
              <w:right w:val="nil"/>
            </w:tcBorders>
            <w:shd w:val="clear" w:color="auto" w:fill="auto"/>
            <w:noWrap/>
            <w:vAlign w:val="center"/>
            <w:hideMark/>
          </w:tcPr>
          <w:p w14:paraId="1FEF14FB"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18</w:t>
            </w:r>
          </w:p>
        </w:tc>
        <w:tc>
          <w:tcPr>
            <w:tcW w:w="820" w:type="dxa"/>
            <w:tcBorders>
              <w:top w:val="nil"/>
              <w:left w:val="nil"/>
              <w:bottom w:val="nil"/>
              <w:right w:val="nil"/>
            </w:tcBorders>
            <w:shd w:val="clear" w:color="auto" w:fill="auto"/>
            <w:noWrap/>
            <w:vAlign w:val="bottom"/>
            <w:hideMark/>
          </w:tcPr>
          <w:p w14:paraId="3204AC90"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male</w:t>
            </w:r>
          </w:p>
        </w:tc>
        <w:tc>
          <w:tcPr>
            <w:tcW w:w="700" w:type="dxa"/>
            <w:tcBorders>
              <w:top w:val="nil"/>
              <w:left w:val="nil"/>
              <w:bottom w:val="nil"/>
              <w:right w:val="nil"/>
            </w:tcBorders>
            <w:shd w:val="clear" w:color="auto" w:fill="auto"/>
            <w:noWrap/>
            <w:vAlign w:val="bottom"/>
            <w:hideMark/>
          </w:tcPr>
          <w:p w14:paraId="785CDFCF"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23</w:t>
            </w:r>
          </w:p>
        </w:tc>
        <w:tc>
          <w:tcPr>
            <w:tcW w:w="880" w:type="dxa"/>
            <w:tcBorders>
              <w:top w:val="nil"/>
              <w:left w:val="nil"/>
              <w:bottom w:val="nil"/>
              <w:right w:val="nil"/>
            </w:tcBorders>
            <w:shd w:val="clear" w:color="auto" w:fill="auto"/>
            <w:noWrap/>
            <w:vAlign w:val="bottom"/>
            <w:hideMark/>
          </w:tcPr>
          <w:p w14:paraId="1E02FDB0"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22</w:t>
            </w:r>
          </w:p>
        </w:tc>
        <w:tc>
          <w:tcPr>
            <w:tcW w:w="1600" w:type="dxa"/>
            <w:tcBorders>
              <w:top w:val="nil"/>
              <w:left w:val="nil"/>
              <w:bottom w:val="nil"/>
              <w:right w:val="nil"/>
            </w:tcBorders>
            <w:shd w:val="clear" w:color="auto" w:fill="auto"/>
            <w:noWrap/>
            <w:vAlign w:val="bottom"/>
            <w:hideMark/>
          </w:tcPr>
          <w:p w14:paraId="73CB1B95"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goalkeeper</w:t>
            </w:r>
          </w:p>
        </w:tc>
        <w:tc>
          <w:tcPr>
            <w:tcW w:w="1180" w:type="dxa"/>
            <w:tcBorders>
              <w:top w:val="nil"/>
              <w:left w:val="nil"/>
              <w:bottom w:val="nil"/>
              <w:right w:val="nil"/>
            </w:tcBorders>
            <w:shd w:val="clear" w:color="auto" w:fill="auto"/>
            <w:noWrap/>
            <w:vAlign w:val="bottom"/>
            <w:hideMark/>
          </w:tcPr>
          <w:p w14:paraId="51EE0A61"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right</w:t>
            </w:r>
          </w:p>
        </w:tc>
        <w:tc>
          <w:tcPr>
            <w:tcW w:w="1340" w:type="dxa"/>
            <w:tcBorders>
              <w:top w:val="nil"/>
              <w:left w:val="nil"/>
              <w:bottom w:val="nil"/>
              <w:right w:val="nil"/>
            </w:tcBorders>
            <w:shd w:val="clear" w:color="auto" w:fill="auto"/>
            <w:noWrap/>
            <w:vAlign w:val="bottom"/>
            <w:hideMark/>
          </w:tcPr>
          <w:p w14:paraId="341110C4"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Pr>
                <w:rFonts w:ascii="Calibri" w:eastAsia="Times New Roman" w:hAnsi="Calibri" w:cs="Times New Roman"/>
                <w:color w:val="000000"/>
                <w:lang w:eastAsia="pl-PL"/>
              </w:rPr>
              <w:t>no</w:t>
            </w:r>
          </w:p>
        </w:tc>
        <w:tc>
          <w:tcPr>
            <w:tcW w:w="2100" w:type="dxa"/>
            <w:tcBorders>
              <w:top w:val="nil"/>
              <w:left w:val="nil"/>
              <w:bottom w:val="nil"/>
              <w:right w:val="nil"/>
            </w:tcBorders>
            <w:shd w:val="clear" w:color="auto" w:fill="auto"/>
            <w:noWrap/>
            <w:vAlign w:val="bottom"/>
            <w:hideMark/>
          </w:tcPr>
          <w:p w14:paraId="0DBD0DC4"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8</w:t>
            </w:r>
          </w:p>
        </w:tc>
      </w:tr>
      <w:tr w:rsidR="00EC4FFF" w:rsidRPr="004036AF" w14:paraId="4FEC58BC" w14:textId="77777777" w:rsidTr="006B61AC">
        <w:trPr>
          <w:trHeight w:val="300"/>
        </w:trPr>
        <w:tc>
          <w:tcPr>
            <w:tcW w:w="880" w:type="dxa"/>
            <w:tcBorders>
              <w:top w:val="nil"/>
              <w:left w:val="nil"/>
              <w:bottom w:val="nil"/>
              <w:right w:val="nil"/>
            </w:tcBorders>
            <w:shd w:val="clear" w:color="auto" w:fill="auto"/>
            <w:noWrap/>
            <w:vAlign w:val="center"/>
            <w:hideMark/>
          </w:tcPr>
          <w:p w14:paraId="4876D49F"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19</w:t>
            </w:r>
          </w:p>
        </w:tc>
        <w:tc>
          <w:tcPr>
            <w:tcW w:w="820" w:type="dxa"/>
            <w:tcBorders>
              <w:top w:val="nil"/>
              <w:left w:val="nil"/>
              <w:bottom w:val="nil"/>
              <w:right w:val="nil"/>
            </w:tcBorders>
            <w:shd w:val="clear" w:color="auto" w:fill="auto"/>
            <w:noWrap/>
            <w:vAlign w:val="bottom"/>
            <w:hideMark/>
          </w:tcPr>
          <w:p w14:paraId="11C7BD98"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male</w:t>
            </w:r>
          </w:p>
        </w:tc>
        <w:tc>
          <w:tcPr>
            <w:tcW w:w="700" w:type="dxa"/>
            <w:tcBorders>
              <w:top w:val="nil"/>
              <w:left w:val="nil"/>
              <w:bottom w:val="nil"/>
              <w:right w:val="nil"/>
            </w:tcBorders>
            <w:shd w:val="clear" w:color="auto" w:fill="auto"/>
            <w:noWrap/>
            <w:vAlign w:val="bottom"/>
            <w:hideMark/>
          </w:tcPr>
          <w:p w14:paraId="36C11DED"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19</w:t>
            </w:r>
          </w:p>
        </w:tc>
        <w:tc>
          <w:tcPr>
            <w:tcW w:w="880" w:type="dxa"/>
            <w:tcBorders>
              <w:top w:val="nil"/>
              <w:left w:val="nil"/>
              <w:bottom w:val="nil"/>
              <w:right w:val="nil"/>
            </w:tcBorders>
            <w:shd w:val="clear" w:color="auto" w:fill="auto"/>
            <w:noWrap/>
            <w:vAlign w:val="bottom"/>
            <w:hideMark/>
          </w:tcPr>
          <w:p w14:paraId="29A5DF4C"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24</w:t>
            </w:r>
          </w:p>
        </w:tc>
        <w:tc>
          <w:tcPr>
            <w:tcW w:w="1600" w:type="dxa"/>
            <w:tcBorders>
              <w:top w:val="nil"/>
              <w:left w:val="nil"/>
              <w:bottom w:val="nil"/>
              <w:right w:val="nil"/>
            </w:tcBorders>
            <w:shd w:val="clear" w:color="auto" w:fill="auto"/>
            <w:noWrap/>
            <w:vAlign w:val="bottom"/>
            <w:hideMark/>
          </w:tcPr>
          <w:p w14:paraId="5B74240D" w14:textId="77777777" w:rsidR="00EC4FFF" w:rsidRPr="00D87E7A" w:rsidRDefault="00EC4FFF" w:rsidP="006B61AC">
            <w:pPr>
              <w:spacing w:after="0" w:line="240" w:lineRule="auto"/>
              <w:jc w:val="center"/>
              <w:rPr>
                <w:rFonts w:eastAsia="Times New Roman" w:cs="Times New Roman"/>
                <w:color w:val="000000"/>
                <w:lang w:eastAsia="pl-PL"/>
              </w:rPr>
            </w:pPr>
            <w:r w:rsidRPr="00D87E7A">
              <w:rPr>
                <w:rFonts w:cs="Arial"/>
                <w:color w:val="000000"/>
                <w:shd w:val="clear" w:color="auto" w:fill="FFFFFF"/>
              </w:rPr>
              <w:t>indeterminate</w:t>
            </w:r>
          </w:p>
        </w:tc>
        <w:tc>
          <w:tcPr>
            <w:tcW w:w="1180" w:type="dxa"/>
            <w:tcBorders>
              <w:top w:val="nil"/>
              <w:left w:val="nil"/>
              <w:bottom w:val="nil"/>
              <w:right w:val="nil"/>
            </w:tcBorders>
            <w:shd w:val="clear" w:color="auto" w:fill="auto"/>
            <w:noWrap/>
            <w:vAlign w:val="bottom"/>
            <w:hideMark/>
          </w:tcPr>
          <w:p w14:paraId="1197DE78"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right</w:t>
            </w:r>
          </w:p>
        </w:tc>
        <w:tc>
          <w:tcPr>
            <w:tcW w:w="1340" w:type="dxa"/>
            <w:tcBorders>
              <w:top w:val="nil"/>
              <w:left w:val="nil"/>
              <w:bottom w:val="nil"/>
              <w:right w:val="nil"/>
            </w:tcBorders>
            <w:shd w:val="clear" w:color="auto" w:fill="auto"/>
            <w:noWrap/>
            <w:vAlign w:val="bottom"/>
            <w:hideMark/>
          </w:tcPr>
          <w:p w14:paraId="0A3E499C"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Pr>
                <w:rFonts w:ascii="Calibri" w:eastAsia="Times New Roman" w:hAnsi="Calibri" w:cs="Times New Roman"/>
                <w:color w:val="000000"/>
                <w:lang w:eastAsia="pl-PL"/>
              </w:rPr>
              <w:t>no</w:t>
            </w:r>
          </w:p>
        </w:tc>
        <w:tc>
          <w:tcPr>
            <w:tcW w:w="2100" w:type="dxa"/>
            <w:tcBorders>
              <w:top w:val="nil"/>
              <w:left w:val="nil"/>
              <w:bottom w:val="nil"/>
              <w:right w:val="nil"/>
            </w:tcBorders>
            <w:shd w:val="clear" w:color="auto" w:fill="auto"/>
            <w:noWrap/>
            <w:vAlign w:val="bottom"/>
            <w:hideMark/>
          </w:tcPr>
          <w:p w14:paraId="129A9900"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11</w:t>
            </w:r>
          </w:p>
        </w:tc>
      </w:tr>
      <w:tr w:rsidR="00EC4FFF" w:rsidRPr="004036AF" w14:paraId="3E412835" w14:textId="77777777" w:rsidTr="006B61AC">
        <w:trPr>
          <w:trHeight w:val="300"/>
        </w:trPr>
        <w:tc>
          <w:tcPr>
            <w:tcW w:w="880" w:type="dxa"/>
            <w:tcBorders>
              <w:top w:val="nil"/>
              <w:left w:val="nil"/>
              <w:bottom w:val="nil"/>
              <w:right w:val="nil"/>
            </w:tcBorders>
            <w:shd w:val="clear" w:color="auto" w:fill="auto"/>
            <w:noWrap/>
            <w:vAlign w:val="center"/>
            <w:hideMark/>
          </w:tcPr>
          <w:p w14:paraId="391505EE"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20</w:t>
            </w:r>
          </w:p>
        </w:tc>
        <w:tc>
          <w:tcPr>
            <w:tcW w:w="820" w:type="dxa"/>
            <w:tcBorders>
              <w:top w:val="nil"/>
              <w:left w:val="nil"/>
              <w:bottom w:val="nil"/>
              <w:right w:val="nil"/>
            </w:tcBorders>
            <w:shd w:val="clear" w:color="auto" w:fill="auto"/>
            <w:noWrap/>
            <w:vAlign w:val="bottom"/>
            <w:hideMark/>
          </w:tcPr>
          <w:p w14:paraId="769148EF"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male</w:t>
            </w:r>
          </w:p>
        </w:tc>
        <w:tc>
          <w:tcPr>
            <w:tcW w:w="700" w:type="dxa"/>
            <w:tcBorders>
              <w:top w:val="nil"/>
              <w:left w:val="nil"/>
              <w:bottom w:val="nil"/>
              <w:right w:val="nil"/>
            </w:tcBorders>
            <w:shd w:val="clear" w:color="auto" w:fill="auto"/>
            <w:noWrap/>
            <w:vAlign w:val="bottom"/>
            <w:hideMark/>
          </w:tcPr>
          <w:p w14:paraId="3EA7F1FC"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27</w:t>
            </w:r>
          </w:p>
        </w:tc>
        <w:tc>
          <w:tcPr>
            <w:tcW w:w="880" w:type="dxa"/>
            <w:tcBorders>
              <w:top w:val="nil"/>
              <w:left w:val="nil"/>
              <w:bottom w:val="nil"/>
              <w:right w:val="nil"/>
            </w:tcBorders>
            <w:shd w:val="clear" w:color="auto" w:fill="auto"/>
            <w:noWrap/>
            <w:vAlign w:val="bottom"/>
            <w:hideMark/>
          </w:tcPr>
          <w:p w14:paraId="4BFB1F72"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24</w:t>
            </w:r>
          </w:p>
        </w:tc>
        <w:tc>
          <w:tcPr>
            <w:tcW w:w="1600" w:type="dxa"/>
            <w:tcBorders>
              <w:top w:val="nil"/>
              <w:left w:val="nil"/>
              <w:bottom w:val="nil"/>
              <w:right w:val="nil"/>
            </w:tcBorders>
            <w:shd w:val="clear" w:color="auto" w:fill="auto"/>
            <w:noWrap/>
            <w:vAlign w:val="bottom"/>
            <w:hideMark/>
          </w:tcPr>
          <w:p w14:paraId="7BF23C84" w14:textId="77777777" w:rsidR="00EC4FFF" w:rsidRPr="00D87E7A" w:rsidRDefault="00EC4FFF" w:rsidP="006B61AC">
            <w:pPr>
              <w:spacing w:after="0" w:line="240" w:lineRule="auto"/>
              <w:jc w:val="center"/>
              <w:rPr>
                <w:rFonts w:eastAsia="Times New Roman" w:cs="Times New Roman"/>
                <w:color w:val="000000"/>
                <w:lang w:eastAsia="pl-PL"/>
              </w:rPr>
            </w:pPr>
            <w:r w:rsidRPr="00D87E7A">
              <w:rPr>
                <w:rFonts w:cs="Arial"/>
                <w:color w:val="000000"/>
                <w:shd w:val="clear" w:color="auto" w:fill="FFFFFF"/>
              </w:rPr>
              <w:t>indeterminate</w:t>
            </w:r>
          </w:p>
        </w:tc>
        <w:tc>
          <w:tcPr>
            <w:tcW w:w="1180" w:type="dxa"/>
            <w:tcBorders>
              <w:top w:val="nil"/>
              <w:left w:val="nil"/>
              <w:bottom w:val="nil"/>
              <w:right w:val="nil"/>
            </w:tcBorders>
            <w:shd w:val="clear" w:color="auto" w:fill="auto"/>
            <w:noWrap/>
            <w:vAlign w:val="bottom"/>
            <w:hideMark/>
          </w:tcPr>
          <w:p w14:paraId="17088792"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right</w:t>
            </w:r>
          </w:p>
        </w:tc>
        <w:tc>
          <w:tcPr>
            <w:tcW w:w="1340" w:type="dxa"/>
            <w:tcBorders>
              <w:top w:val="nil"/>
              <w:left w:val="nil"/>
              <w:bottom w:val="nil"/>
              <w:right w:val="nil"/>
            </w:tcBorders>
            <w:shd w:val="clear" w:color="auto" w:fill="auto"/>
            <w:noWrap/>
            <w:vAlign w:val="bottom"/>
            <w:hideMark/>
          </w:tcPr>
          <w:p w14:paraId="3D45AA01"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Pr>
                <w:rFonts w:ascii="Calibri" w:eastAsia="Times New Roman" w:hAnsi="Calibri" w:cs="Times New Roman"/>
                <w:color w:val="000000"/>
                <w:lang w:eastAsia="pl-PL"/>
              </w:rPr>
              <w:t>no</w:t>
            </w:r>
          </w:p>
        </w:tc>
        <w:tc>
          <w:tcPr>
            <w:tcW w:w="2100" w:type="dxa"/>
            <w:tcBorders>
              <w:top w:val="nil"/>
              <w:left w:val="nil"/>
              <w:bottom w:val="nil"/>
              <w:right w:val="nil"/>
            </w:tcBorders>
            <w:shd w:val="clear" w:color="auto" w:fill="auto"/>
            <w:noWrap/>
            <w:vAlign w:val="bottom"/>
            <w:hideMark/>
          </w:tcPr>
          <w:p w14:paraId="3497CA85"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10</w:t>
            </w:r>
          </w:p>
        </w:tc>
      </w:tr>
      <w:tr w:rsidR="00EC4FFF" w:rsidRPr="004036AF" w14:paraId="7662A5A9" w14:textId="77777777" w:rsidTr="006B61AC">
        <w:trPr>
          <w:trHeight w:val="300"/>
        </w:trPr>
        <w:tc>
          <w:tcPr>
            <w:tcW w:w="880" w:type="dxa"/>
            <w:tcBorders>
              <w:top w:val="nil"/>
              <w:left w:val="nil"/>
              <w:bottom w:val="nil"/>
              <w:right w:val="nil"/>
            </w:tcBorders>
            <w:shd w:val="clear" w:color="auto" w:fill="auto"/>
            <w:noWrap/>
            <w:vAlign w:val="center"/>
            <w:hideMark/>
          </w:tcPr>
          <w:p w14:paraId="64B05590"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21</w:t>
            </w:r>
          </w:p>
        </w:tc>
        <w:tc>
          <w:tcPr>
            <w:tcW w:w="820" w:type="dxa"/>
            <w:tcBorders>
              <w:top w:val="nil"/>
              <w:left w:val="nil"/>
              <w:bottom w:val="nil"/>
              <w:right w:val="nil"/>
            </w:tcBorders>
            <w:shd w:val="clear" w:color="auto" w:fill="auto"/>
            <w:noWrap/>
            <w:vAlign w:val="bottom"/>
            <w:hideMark/>
          </w:tcPr>
          <w:p w14:paraId="5BCF6D1F"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male</w:t>
            </w:r>
          </w:p>
        </w:tc>
        <w:tc>
          <w:tcPr>
            <w:tcW w:w="700" w:type="dxa"/>
            <w:tcBorders>
              <w:top w:val="nil"/>
              <w:left w:val="nil"/>
              <w:bottom w:val="nil"/>
              <w:right w:val="nil"/>
            </w:tcBorders>
            <w:shd w:val="clear" w:color="auto" w:fill="auto"/>
            <w:noWrap/>
            <w:vAlign w:val="bottom"/>
            <w:hideMark/>
          </w:tcPr>
          <w:p w14:paraId="3F9A291C"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21</w:t>
            </w:r>
          </w:p>
        </w:tc>
        <w:tc>
          <w:tcPr>
            <w:tcW w:w="880" w:type="dxa"/>
            <w:tcBorders>
              <w:top w:val="nil"/>
              <w:left w:val="nil"/>
              <w:bottom w:val="nil"/>
              <w:right w:val="nil"/>
            </w:tcBorders>
            <w:shd w:val="clear" w:color="auto" w:fill="auto"/>
            <w:noWrap/>
            <w:vAlign w:val="bottom"/>
            <w:hideMark/>
          </w:tcPr>
          <w:p w14:paraId="1827F1C3"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23</w:t>
            </w:r>
          </w:p>
        </w:tc>
        <w:tc>
          <w:tcPr>
            <w:tcW w:w="1600" w:type="dxa"/>
            <w:tcBorders>
              <w:top w:val="nil"/>
              <w:left w:val="nil"/>
              <w:bottom w:val="nil"/>
              <w:right w:val="nil"/>
            </w:tcBorders>
            <w:shd w:val="clear" w:color="auto" w:fill="auto"/>
            <w:noWrap/>
            <w:vAlign w:val="bottom"/>
            <w:hideMark/>
          </w:tcPr>
          <w:p w14:paraId="4F729078" w14:textId="77777777" w:rsidR="00EC4FFF" w:rsidRPr="00D87E7A" w:rsidRDefault="00EC4FFF" w:rsidP="006B61AC">
            <w:pPr>
              <w:spacing w:after="0" w:line="240" w:lineRule="auto"/>
              <w:jc w:val="center"/>
              <w:rPr>
                <w:rFonts w:eastAsia="Times New Roman" w:cs="Times New Roman"/>
                <w:color w:val="000000"/>
                <w:lang w:eastAsia="pl-PL"/>
              </w:rPr>
            </w:pPr>
            <w:r w:rsidRPr="00D87E7A">
              <w:rPr>
                <w:rFonts w:cs="Arial"/>
                <w:color w:val="000000"/>
                <w:shd w:val="clear" w:color="auto" w:fill="FFFFFF"/>
              </w:rPr>
              <w:t>indeterminate</w:t>
            </w:r>
          </w:p>
        </w:tc>
        <w:tc>
          <w:tcPr>
            <w:tcW w:w="1180" w:type="dxa"/>
            <w:tcBorders>
              <w:top w:val="nil"/>
              <w:left w:val="nil"/>
              <w:bottom w:val="nil"/>
              <w:right w:val="nil"/>
            </w:tcBorders>
            <w:shd w:val="clear" w:color="auto" w:fill="auto"/>
            <w:noWrap/>
            <w:vAlign w:val="bottom"/>
            <w:hideMark/>
          </w:tcPr>
          <w:p w14:paraId="791D2222"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left</w:t>
            </w:r>
          </w:p>
        </w:tc>
        <w:tc>
          <w:tcPr>
            <w:tcW w:w="1340" w:type="dxa"/>
            <w:tcBorders>
              <w:top w:val="nil"/>
              <w:left w:val="nil"/>
              <w:bottom w:val="nil"/>
              <w:right w:val="nil"/>
            </w:tcBorders>
            <w:shd w:val="clear" w:color="auto" w:fill="auto"/>
            <w:noWrap/>
            <w:vAlign w:val="bottom"/>
            <w:hideMark/>
          </w:tcPr>
          <w:p w14:paraId="6DB36AAF"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Pr>
                <w:rFonts w:ascii="Calibri" w:eastAsia="Times New Roman" w:hAnsi="Calibri" w:cs="Times New Roman"/>
                <w:color w:val="000000"/>
                <w:lang w:eastAsia="pl-PL"/>
              </w:rPr>
              <w:t>yes</w:t>
            </w:r>
          </w:p>
        </w:tc>
        <w:tc>
          <w:tcPr>
            <w:tcW w:w="2100" w:type="dxa"/>
            <w:tcBorders>
              <w:top w:val="nil"/>
              <w:left w:val="nil"/>
              <w:bottom w:val="nil"/>
              <w:right w:val="nil"/>
            </w:tcBorders>
            <w:shd w:val="clear" w:color="auto" w:fill="auto"/>
            <w:noWrap/>
            <w:vAlign w:val="bottom"/>
            <w:hideMark/>
          </w:tcPr>
          <w:p w14:paraId="1710B0FD"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r w:rsidRPr="004036AF">
              <w:rPr>
                <w:rFonts w:ascii="Calibri" w:eastAsia="Times New Roman" w:hAnsi="Calibri" w:cs="Times New Roman"/>
                <w:color w:val="000000"/>
                <w:lang w:eastAsia="pl-PL"/>
              </w:rPr>
              <w:t>8</w:t>
            </w:r>
          </w:p>
        </w:tc>
      </w:tr>
      <w:tr w:rsidR="00EC4FFF" w:rsidRPr="004036AF" w14:paraId="27A30123" w14:textId="77777777" w:rsidTr="006B61AC">
        <w:trPr>
          <w:trHeight w:val="300"/>
        </w:trPr>
        <w:tc>
          <w:tcPr>
            <w:tcW w:w="880" w:type="dxa"/>
            <w:tcBorders>
              <w:top w:val="nil"/>
              <w:left w:val="nil"/>
              <w:bottom w:val="nil"/>
              <w:right w:val="nil"/>
            </w:tcBorders>
            <w:shd w:val="clear" w:color="auto" w:fill="auto"/>
            <w:noWrap/>
            <w:vAlign w:val="center"/>
          </w:tcPr>
          <w:p w14:paraId="417A36BC"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p>
        </w:tc>
        <w:tc>
          <w:tcPr>
            <w:tcW w:w="820" w:type="dxa"/>
            <w:tcBorders>
              <w:top w:val="nil"/>
              <w:left w:val="nil"/>
              <w:bottom w:val="nil"/>
              <w:right w:val="nil"/>
            </w:tcBorders>
            <w:shd w:val="clear" w:color="auto" w:fill="auto"/>
            <w:noWrap/>
            <w:vAlign w:val="bottom"/>
          </w:tcPr>
          <w:p w14:paraId="0892AB55"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p>
        </w:tc>
        <w:tc>
          <w:tcPr>
            <w:tcW w:w="700" w:type="dxa"/>
            <w:tcBorders>
              <w:top w:val="nil"/>
              <w:left w:val="nil"/>
              <w:bottom w:val="nil"/>
              <w:right w:val="nil"/>
            </w:tcBorders>
            <w:shd w:val="clear" w:color="auto" w:fill="auto"/>
            <w:noWrap/>
            <w:vAlign w:val="bottom"/>
          </w:tcPr>
          <w:p w14:paraId="7DC397F8"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p>
        </w:tc>
        <w:tc>
          <w:tcPr>
            <w:tcW w:w="880" w:type="dxa"/>
            <w:tcBorders>
              <w:top w:val="nil"/>
              <w:left w:val="nil"/>
              <w:bottom w:val="nil"/>
              <w:right w:val="nil"/>
            </w:tcBorders>
            <w:shd w:val="clear" w:color="auto" w:fill="auto"/>
            <w:noWrap/>
            <w:vAlign w:val="bottom"/>
          </w:tcPr>
          <w:p w14:paraId="53A9F8DB"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p>
        </w:tc>
        <w:tc>
          <w:tcPr>
            <w:tcW w:w="1600" w:type="dxa"/>
            <w:tcBorders>
              <w:top w:val="nil"/>
              <w:left w:val="nil"/>
              <w:bottom w:val="nil"/>
              <w:right w:val="nil"/>
            </w:tcBorders>
            <w:shd w:val="clear" w:color="auto" w:fill="auto"/>
            <w:noWrap/>
            <w:vAlign w:val="bottom"/>
          </w:tcPr>
          <w:p w14:paraId="3ABCDBD3" w14:textId="77777777" w:rsidR="00EC4FFF" w:rsidRPr="00D87E7A" w:rsidRDefault="00EC4FFF" w:rsidP="006B61AC">
            <w:pPr>
              <w:spacing w:after="0" w:line="240" w:lineRule="auto"/>
              <w:jc w:val="center"/>
              <w:rPr>
                <w:rFonts w:cs="Arial"/>
                <w:color w:val="000000"/>
                <w:shd w:val="clear" w:color="auto" w:fill="FFFFFF"/>
              </w:rPr>
            </w:pPr>
          </w:p>
        </w:tc>
        <w:tc>
          <w:tcPr>
            <w:tcW w:w="1180" w:type="dxa"/>
            <w:tcBorders>
              <w:top w:val="nil"/>
              <w:left w:val="nil"/>
              <w:bottom w:val="nil"/>
              <w:right w:val="nil"/>
            </w:tcBorders>
            <w:shd w:val="clear" w:color="auto" w:fill="auto"/>
            <w:noWrap/>
            <w:vAlign w:val="bottom"/>
          </w:tcPr>
          <w:p w14:paraId="7A4A0790"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p>
        </w:tc>
        <w:tc>
          <w:tcPr>
            <w:tcW w:w="1340" w:type="dxa"/>
            <w:tcBorders>
              <w:top w:val="nil"/>
              <w:left w:val="nil"/>
              <w:bottom w:val="nil"/>
              <w:right w:val="nil"/>
            </w:tcBorders>
            <w:shd w:val="clear" w:color="auto" w:fill="auto"/>
            <w:noWrap/>
            <w:vAlign w:val="bottom"/>
          </w:tcPr>
          <w:p w14:paraId="05111E52" w14:textId="77777777" w:rsidR="00EC4FFF" w:rsidRDefault="00EC4FFF" w:rsidP="006B61AC">
            <w:pPr>
              <w:spacing w:after="0" w:line="240" w:lineRule="auto"/>
              <w:jc w:val="center"/>
              <w:rPr>
                <w:rFonts w:ascii="Calibri" w:eastAsia="Times New Roman" w:hAnsi="Calibri" w:cs="Times New Roman"/>
                <w:color w:val="000000"/>
                <w:lang w:eastAsia="pl-PL"/>
              </w:rPr>
            </w:pPr>
          </w:p>
        </w:tc>
        <w:tc>
          <w:tcPr>
            <w:tcW w:w="2100" w:type="dxa"/>
            <w:tcBorders>
              <w:top w:val="nil"/>
              <w:left w:val="nil"/>
              <w:bottom w:val="nil"/>
              <w:right w:val="nil"/>
            </w:tcBorders>
            <w:shd w:val="clear" w:color="auto" w:fill="auto"/>
            <w:noWrap/>
            <w:vAlign w:val="bottom"/>
          </w:tcPr>
          <w:p w14:paraId="7CC4DEC4" w14:textId="77777777" w:rsidR="00EC4FFF" w:rsidRPr="004036AF" w:rsidRDefault="00EC4FFF" w:rsidP="006B61AC">
            <w:pPr>
              <w:spacing w:after="0" w:line="240" w:lineRule="auto"/>
              <w:jc w:val="center"/>
              <w:rPr>
                <w:rFonts w:ascii="Calibri" w:eastAsia="Times New Roman" w:hAnsi="Calibri" w:cs="Times New Roman"/>
                <w:color w:val="000000"/>
                <w:lang w:eastAsia="pl-PL"/>
              </w:rPr>
            </w:pPr>
          </w:p>
        </w:tc>
      </w:tr>
    </w:tbl>
    <w:p w14:paraId="336F5FFA" w14:textId="77777777" w:rsidR="00EC4FFF" w:rsidRDefault="00EC4FFF" w:rsidP="00282695">
      <w:pPr>
        <w:spacing w:line="360" w:lineRule="auto"/>
        <w:ind w:firstLine="708"/>
        <w:jc w:val="both"/>
        <w:rPr>
          <w:rFonts w:ascii="Times New Roman" w:hAnsi="Times New Roman" w:cs="Times New Roman"/>
          <w:sz w:val="24"/>
        </w:rPr>
      </w:pPr>
    </w:p>
    <w:p w14:paraId="6CF06EA9" w14:textId="77777777" w:rsidR="00E10C01" w:rsidRDefault="00E10C01" w:rsidP="00282695">
      <w:pPr>
        <w:spacing w:line="360" w:lineRule="auto"/>
        <w:ind w:firstLine="708"/>
        <w:jc w:val="both"/>
        <w:rPr>
          <w:rFonts w:ascii="Times New Roman" w:hAnsi="Times New Roman" w:cs="Times New Roman"/>
          <w:sz w:val="24"/>
        </w:rPr>
      </w:pPr>
    </w:p>
    <w:p w14:paraId="57D54484" w14:textId="77777777" w:rsidR="003004C2" w:rsidRDefault="003004C2" w:rsidP="00282695">
      <w:pPr>
        <w:spacing w:line="360" w:lineRule="auto"/>
        <w:ind w:firstLine="708"/>
        <w:jc w:val="both"/>
        <w:rPr>
          <w:rFonts w:ascii="Times New Roman" w:hAnsi="Times New Roman" w:cs="Times New Roman"/>
          <w:sz w:val="24"/>
        </w:rPr>
      </w:pPr>
    </w:p>
    <w:p w14:paraId="2BB26647" w14:textId="77777777" w:rsidR="003004C2" w:rsidRDefault="003004C2" w:rsidP="00282695">
      <w:pPr>
        <w:spacing w:line="360" w:lineRule="auto"/>
        <w:ind w:firstLine="708"/>
        <w:jc w:val="both"/>
        <w:rPr>
          <w:rFonts w:ascii="Times New Roman" w:hAnsi="Times New Roman" w:cs="Times New Roman"/>
          <w:sz w:val="24"/>
        </w:rPr>
      </w:pPr>
    </w:p>
    <w:p w14:paraId="760A81F7" w14:textId="77777777" w:rsidR="003004C2" w:rsidRDefault="003004C2" w:rsidP="00282695">
      <w:pPr>
        <w:spacing w:line="360" w:lineRule="auto"/>
        <w:ind w:firstLine="708"/>
        <w:jc w:val="both"/>
        <w:rPr>
          <w:rFonts w:ascii="Times New Roman" w:hAnsi="Times New Roman" w:cs="Times New Roman"/>
          <w:sz w:val="24"/>
        </w:rPr>
      </w:pPr>
    </w:p>
    <w:p w14:paraId="0C28C836" w14:textId="77777777" w:rsidR="003004C2" w:rsidRDefault="003004C2" w:rsidP="00282695">
      <w:pPr>
        <w:spacing w:line="360" w:lineRule="auto"/>
        <w:ind w:firstLine="708"/>
        <w:jc w:val="both"/>
        <w:rPr>
          <w:rFonts w:ascii="Times New Roman" w:hAnsi="Times New Roman" w:cs="Times New Roman"/>
          <w:sz w:val="24"/>
        </w:rPr>
      </w:pPr>
    </w:p>
    <w:p w14:paraId="13956D40" w14:textId="77777777" w:rsidR="003004C2" w:rsidRDefault="003004C2" w:rsidP="00282695">
      <w:pPr>
        <w:spacing w:line="360" w:lineRule="auto"/>
        <w:ind w:firstLine="708"/>
        <w:jc w:val="both"/>
        <w:rPr>
          <w:rFonts w:ascii="Times New Roman" w:hAnsi="Times New Roman" w:cs="Times New Roman"/>
          <w:sz w:val="24"/>
        </w:rPr>
      </w:pPr>
    </w:p>
    <w:p w14:paraId="668CFB7A" w14:textId="77777777" w:rsidR="003004C2" w:rsidRDefault="003004C2" w:rsidP="00282695">
      <w:pPr>
        <w:spacing w:line="360" w:lineRule="auto"/>
        <w:ind w:firstLine="708"/>
        <w:jc w:val="both"/>
        <w:rPr>
          <w:rFonts w:ascii="Times New Roman" w:hAnsi="Times New Roman" w:cs="Times New Roman"/>
          <w:sz w:val="24"/>
        </w:rPr>
      </w:pPr>
    </w:p>
    <w:p w14:paraId="49985F3F" w14:textId="77777777" w:rsidR="003004C2" w:rsidRDefault="003004C2" w:rsidP="00282695">
      <w:pPr>
        <w:spacing w:line="360" w:lineRule="auto"/>
        <w:ind w:firstLine="708"/>
        <w:jc w:val="both"/>
        <w:rPr>
          <w:rFonts w:ascii="Times New Roman" w:hAnsi="Times New Roman" w:cs="Times New Roman"/>
          <w:sz w:val="24"/>
        </w:rPr>
      </w:pPr>
    </w:p>
    <w:p w14:paraId="5ED24998" w14:textId="77777777" w:rsidR="00E10C01" w:rsidRDefault="00E10C01" w:rsidP="00282695">
      <w:pPr>
        <w:spacing w:line="360" w:lineRule="auto"/>
        <w:ind w:firstLine="708"/>
        <w:jc w:val="both"/>
        <w:rPr>
          <w:rFonts w:ascii="Times New Roman" w:hAnsi="Times New Roman" w:cs="Times New Roman"/>
          <w:sz w:val="24"/>
        </w:rPr>
      </w:pPr>
    </w:p>
    <w:p w14:paraId="4DA9E2FF" w14:textId="18283AE3" w:rsidR="003004C2" w:rsidRPr="003004C2" w:rsidRDefault="003004C2" w:rsidP="003004C2">
      <w:pPr>
        <w:pStyle w:val="Legenda"/>
        <w:keepNext/>
        <w:rPr>
          <w:rFonts w:ascii="Times New Roman" w:hAnsi="Times New Roman" w:cs="Times New Roman"/>
          <w:color w:val="auto"/>
          <w:sz w:val="24"/>
        </w:rPr>
      </w:pPr>
      <w:r w:rsidRPr="006B400C">
        <w:rPr>
          <w:rFonts w:ascii="Times New Roman" w:hAnsi="Times New Roman" w:cs="Times New Roman"/>
          <w:b/>
          <w:color w:val="auto"/>
          <w:sz w:val="24"/>
        </w:rPr>
        <w:lastRenderedPageBreak/>
        <w:t>Table 2.</w:t>
      </w:r>
      <w:r w:rsidRPr="00AE6BEE">
        <w:rPr>
          <w:rFonts w:ascii="Times New Roman" w:hAnsi="Times New Roman" w:cs="Times New Roman"/>
          <w:color w:val="auto"/>
          <w:sz w:val="24"/>
        </w:rPr>
        <w:t xml:space="preserve"> Postoperative rehabilitation protocols</w:t>
      </w:r>
    </w:p>
    <w:p w14:paraId="445E4454" w14:textId="43BD8784" w:rsidR="00E10C01" w:rsidRDefault="00E10C01" w:rsidP="00282695">
      <w:pPr>
        <w:spacing w:line="360" w:lineRule="auto"/>
        <w:ind w:firstLine="708"/>
        <w:jc w:val="both"/>
        <w:rPr>
          <w:rFonts w:ascii="Times New Roman" w:hAnsi="Times New Roman" w:cs="Times New Roman"/>
          <w:sz w:val="24"/>
        </w:rPr>
      </w:pPr>
    </w:p>
    <w:tbl>
      <w:tblPr>
        <w:tblStyle w:val="Tabela-Siatka"/>
        <w:tblpPr w:leftFromText="141" w:rightFromText="141" w:vertAnchor="text" w:horzAnchor="margin" w:tblpY="210"/>
        <w:tblOverlap w:val="never"/>
        <w:tblW w:w="91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A0" w:firstRow="1" w:lastRow="0" w:firstColumn="1" w:lastColumn="0" w:noHBand="1" w:noVBand="1"/>
      </w:tblPr>
      <w:tblGrid>
        <w:gridCol w:w="3009"/>
        <w:gridCol w:w="3009"/>
        <w:gridCol w:w="3114"/>
      </w:tblGrid>
      <w:tr w:rsidR="003004C2" w14:paraId="5E0888E4" w14:textId="77777777" w:rsidTr="003004C2">
        <w:tc>
          <w:tcPr>
            <w:tcW w:w="3009" w:type="dxa"/>
            <w:tcBorders>
              <w:bottom w:val="single" w:sz="4" w:space="0" w:color="auto"/>
            </w:tcBorders>
            <w:shd w:val="clear" w:color="auto" w:fill="auto"/>
          </w:tcPr>
          <w:p w14:paraId="67EF5E69" w14:textId="77777777" w:rsidR="003004C2" w:rsidRPr="002915F3" w:rsidRDefault="003004C2" w:rsidP="003004C2">
            <w:pPr>
              <w:spacing w:line="276" w:lineRule="auto"/>
              <w:rPr>
                <w:b/>
              </w:rPr>
            </w:pPr>
            <w:r w:rsidRPr="002915F3">
              <w:rPr>
                <w:b/>
              </w:rPr>
              <w:t>Phase I (0 – 2 weeks)</w:t>
            </w:r>
          </w:p>
        </w:tc>
        <w:tc>
          <w:tcPr>
            <w:tcW w:w="3009" w:type="dxa"/>
            <w:tcBorders>
              <w:bottom w:val="single" w:sz="4" w:space="0" w:color="auto"/>
            </w:tcBorders>
            <w:shd w:val="clear" w:color="auto" w:fill="auto"/>
          </w:tcPr>
          <w:p w14:paraId="6505DED3" w14:textId="77777777" w:rsidR="003004C2" w:rsidRPr="002915F3" w:rsidRDefault="003004C2" w:rsidP="003004C2">
            <w:pPr>
              <w:spacing w:line="276" w:lineRule="auto"/>
              <w:rPr>
                <w:b/>
              </w:rPr>
            </w:pPr>
            <w:r w:rsidRPr="002915F3">
              <w:rPr>
                <w:b/>
              </w:rPr>
              <w:t>Phase II (2 - 6 weeks)</w:t>
            </w:r>
          </w:p>
        </w:tc>
        <w:tc>
          <w:tcPr>
            <w:tcW w:w="3114" w:type="dxa"/>
            <w:tcBorders>
              <w:bottom w:val="single" w:sz="4" w:space="0" w:color="auto"/>
            </w:tcBorders>
            <w:shd w:val="clear" w:color="auto" w:fill="auto"/>
          </w:tcPr>
          <w:p w14:paraId="2D422815" w14:textId="77777777" w:rsidR="003004C2" w:rsidRPr="002915F3" w:rsidRDefault="003004C2" w:rsidP="003004C2">
            <w:pPr>
              <w:spacing w:line="276" w:lineRule="auto"/>
              <w:rPr>
                <w:b/>
              </w:rPr>
            </w:pPr>
            <w:r w:rsidRPr="002915F3">
              <w:rPr>
                <w:b/>
              </w:rPr>
              <w:t>Phase III (6-10 weeks)</w:t>
            </w:r>
          </w:p>
        </w:tc>
      </w:tr>
      <w:tr w:rsidR="003004C2" w14:paraId="0D747271" w14:textId="77777777" w:rsidTr="003004C2">
        <w:tc>
          <w:tcPr>
            <w:tcW w:w="3009" w:type="dxa"/>
            <w:tcBorders>
              <w:top w:val="single" w:sz="4" w:space="0" w:color="auto"/>
            </w:tcBorders>
            <w:shd w:val="clear" w:color="auto" w:fill="auto"/>
          </w:tcPr>
          <w:p w14:paraId="087875D0" w14:textId="77777777" w:rsidR="003004C2" w:rsidRPr="00322FF2" w:rsidRDefault="003004C2" w:rsidP="003004C2">
            <w:pPr>
              <w:rPr>
                <w:lang w:val="en-US"/>
              </w:rPr>
            </w:pPr>
            <w:r w:rsidRPr="00322FF2">
              <w:rPr>
                <w:lang w:val="en-US"/>
              </w:rPr>
              <w:t>- Foot protection in a Cam Walker Boot</w:t>
            </w:r>
          </w:p>
          <w:p w14:paraId="104C5E05" w14:textId="77777777" w:rsidR="003004C2" w:rsidRPr="00322FF2" w:rsidRDefault="003004C2" w:rsidP="003004C2">
            <w:pPr>
              <w:rPr>
                <w:lang w:val="en-US"/>
              </w:rPr>
            </w:pPr>
            <w:r w:rsidRPr="00322FF2">
              <w:rPr>
                <w:lang w:val="en-US"/>
              </w:rPr>
              <w:t>- Walking with the use of elbow crutches with relief of the operated limb</w:t>
            </w:r>
          </w:p>
          <w:p w14:paraId="5CBF94CC" w14:textId="77777777" w:rsidR="003004C2" w:rsidRPr="00322FF2" w:rsidRDefault="003004C2" w:rsidP="003004C2">
            <w:pPr>
              <w:rPr>
                <w:lang w:val="en-US"/>
              </w:rPr>
            </w:pPr>
            <w:r w:rsidRPr="00322FF2">
              <w:rPr>
                <w:lang w:val="en-US"/>
              </w:rPr>
              <w:t>- Range of motion exercises (ROM) including: metatarsophalangeal joints,</w:t>
            </w:r>
          </w:p>
          <w:p w14:paraId="3CBC2BAE" w14:textId="77777777" w:rsidR="003004C2" w:rsidRPr="00322FF2" w:rsidRDefault="003004C2" w:rsidP="003004C2">
            <w:pPr>
              <w:rPr>
                <w:lang w:val="en-US"/>
              </w:rPr>
            </w:pPr>
            <w:r w:rsidRPr="00322FF2">
              <w:rPr>
                <w:lang w:val="en-US"/>
              </w:rPr>
              <w:t>painless ankle joint, knee and hip joints</w:t>
            </w:r>
          </w:p>
          <w:p w14:paraId="19E47653" w14:textId="77777777" w:rsidR="003004C2" w:rsidRPr="00322FF2" w:rsidRDefault="003004C2" w:rsidP="003004C2">
            <w:pPr>
              <w:rPr>
                <w:lang w:val="en-US"/>
              </w:rPr>
            </w:pPr>
            <w:r w:rsidRPr="00322FF2">
              <w:rPr>
                <w:lang w:val="en-US"/>
              </w:rPr>
              <w:t>- Exercises to activate key muscle groups of the lower limbs and central stabilization muscles</w:t>
            </w:r>
          </w:p>
          <w:p w14:paraId="6C9C05E6" w14:textId="77777777" w:rsidR="003004C2" w:rsidRPr="00322FF2" w:rsidRDefault="003004C2" w:rsidP="003004C2">
            <w:pPr>
              <w:rPr>
                <w:lang w:val="en-US"/>
              </w:rPr>
            </w:pPr>
            <w:r w:rsidRPr="00322FF2">
              <w:rPr>
                <w:lang w:val="en-US"/>
              </w:rPr>
              <w:t>- General fitness exercises, e.g. (stationary bike)</w:t>
            </w:r>
          </w:p>
          <w:p w14:paraId="389B27CA" w14:textId="77777777" w:rsidR="003004C2" w:rsidRPr="00322FF2" w:rsidRDefault="003004C2" w:rsidP="003004C2">
            <w:pPr>
              <w:rPr>
                <w:lang w:val="en-US"/>
              </w:rPr>
            </w:pPr>
            <w:r w:rsidRPr="00322FF2">
              <w:rPr>
                <w:lang w:val="en-US"/>
              </w:rPr>
              <w:t>- Antithrombotic prophylaxis</w:t>
            </w:r>
          </w:p>
          <w:p w14:paraId="33524521" w14:textId="77777777" w:rsidR="003004C2" w:rsidRPr="00322FF2" w:rsidRDefault="003004C2" w:rsidP="003004C2">
            <w:pPr>
              <w:rPr>
                <w:lang w:val="en-US"/>
              </w:rPr>
            </w:pPr>
            <w:r w:rsidRPr="00322FF2">
              <w:rPr>
                <w:lang w:val="en-US"/>
              </w:rPr>
              <w:t>and anti-swelling</w:t>
            </w:r>
          </w:p>
          <w:p w14:paraId="7632C72C" w14:textId="77777777" w:rsidR="003004C2" w:rsidRPr="00322FF2" w:rsidRDefault="003004C2" w:rsidP="003004C2">
            <w:pPr>
              <w:rPr>
                <w:lang w:val="en-US"/>
              </w:rPr>
            </w:pPr>
            <w:r w:rsidRPr="00322FF2">
              <w:rPr>
                <w:lang w:val="en-US"/>
              </w:rPr>
              <w:t>(cooling, compression therapy, e.g. NormaTec, elevation)</w:t>
            </w:r>
          </w:p>
        </w:tc>
        <w:tc>
          <w:tcPr>
            <w:tcW w:w="3009" w:type="dxa"/>
            <w:tcBorders>
              <w:top w:val="single" w:sz="4" w:space="0" w:color="auto"/>
            </w:tcBorders>
            <w:shd w:val="clear" w:color="auto" w:fill="auto"/>
          </w:tcPr>
          <w:p w14:paraId="150FC811" w14:textId="77777777" w:rsidR="003004C2" w:rsidRPr="00322FF2" w:rsidRDefault="003004C2" w:rsidP="003004C2">
            <w:pPr>
              <w:rPr>
                <w:lang w:val="en-US"/>
              </w:rPr>
            </w:pPr>
            <w:r w:rsidRPr="00322FF2">
              <w:rPr>
                <w:lang w:val="en-US"/>
              </w:rPr>
              <w:t>- Full lower limb load in a Cam Walker boot or a shoe</w:t>
            </w:r>
          </w:p>
          <w:p w14:paraId="197AE901" w14:textId="77777777" w:rsidR="003004C2" w:rsidRPr="00322FF2" w:rsidRDefault="003004C2" w:rsidP="003004C2">
            <w:pPr>
              <w:rPr>
                <w:lang w:val="en-US"/>
              </w:rPr>
            </w:pPr>
            <w:r w:rsidRPr="00322FF2">
              <w:rPr>
                <w:lang w:val="en-US"/>
              </w:rPr>
              <w:t>with a hard sole</w:t>
            </w:r>
          </w:p>
          <w:p w14:paraId="1B498104" w14:textId="77777777" w:rsidR="003004C2" w:rsidRPr="00322FF2" w:rsidRDefault="003004C2" w:rsidP="003004C2">
            <w:pPr>
              <w:rPr>
                <w:lang w:val="en-US"/>
              </w:rPr>
            </w:pPr>
            <w:r w:rsidRPr="00322FF2">
              <w:rPr>
                <w:lang w:val="en-US"/>
              </w:rPr>
              <w:t>- Manual therapy including scar mobilization and manipulation of soft tissues of the foot and shank and also foot joints</w:t>
            </w:r>
          </w:p>
          <w:p w14:paraId="6DE72C06" w14:textId="77777777" w:rsidR="003004C2" w:rsidRPr="00322FF2" w:rsidRDefault="003004C2" w:rsidP="003004C2">
            <w:pPr>
              <w:rPr>
                <w:lang w:val="en-US"/>
              </w:rPr>
            </w:pPr>
            <w:r w:rsidRPr="00322FF2">
              <w:rPr>
                <w:lang w:val="en-US"/>
              </w:rPr>
              <w:t>- Continuation of ROM exercises</w:t>
            </w:r>
          </w:p>
          <w:p w14:paraId="5890DD83" w14:textId="77777777" w:rsidR="003004C2" w:rsidRPr="00322FF2" w:rsidRDefault="003004C2" w:rsidP="003004C2">
            <w:pPr>
              <w:rPr>
                <w:lang w:val="en-US"/>
              </w:rPr>
            </w:pPr>
            <w:r w:rsidRPr="00322FF2">
              <w:rPr>
                <w:lang w:val="en-US"/>
              </w:rPr>
              <w:t>- Active and resistance exercises for the foot and ankle</w:t>
            </w:r>
          </w:p>
          <w:p w14:paraId="488EC3D4" w14:textId="77777777" w:rsidR="003004C2" w:rsidRPr="00322FF2" w:rsidRDefault="003004C2" w:rsidP="003004C2">
            <w:pPr>
              <w:rPr>
                <w:lang w:val="en-US"/>
              </w:rPr>
            </w:pPr>
            <w:r w:rsidRPr="00322FF2">
              <w:rPr>
                <w:lang w:val="en-US"/>
              </w:rPr>
              <w:t>using resistance tapes</w:t>
            </w:r>
          </w:p>
          <w:p w14:paraId="27FB82AB" w14:textId="77777777" w:rsidR="003004C2" w:rsidRPr="00322FF2" w:rsidRDefault="003004C2" w:rsidP="003004C2">
            <w:pPr>
              <w:rPr>
                <w:lang w:val="en-US"/>
              </w:rPr>
            </w:pPr>
            <w:r w:rsidRPr="00322FF2">
              <w:rPr>
                <w:lang w:val="en-US"/>
              </w:rPr>
              <w:t>- Exercises to strengthen the muscles of the lower limbs, the muscles of the torso and the upper limbs</w:t>
            </w:r>
          </w:p>
          <w:p w14:paraId="76D0AE1D" w14:textId="77777777" w:rsidR="003004C2" w:rsidRPr="00322FF2" w:rsidRDefault="003004C2" w:rsidP="003004C2">
            <w:pPr>
              <w:rPr>
                <w:lang w:val="en-US"/>
              </w:rPr>
            </w:pPr>
            <w:r w:rsidRPr="00322FF2">
              <w:rPr>
                <w:lang w:val="en-US"/>
              </w:rPr>
              <w:t>- Gait re-education with the use of an anti-gravity treadmill</w:t>
            </w:r>
          </w:p>
          <w:p w14:paraId="3EB48020" w14:textId="77777777" w:rsidR="003004C2" w:rsidRPr="00322FF2" w:rsidRDefault="003004C2" w:rsidP="003004C2">
            <w:pPr>
              <w:rPr>
                <w:lang w:val="en-US"/>
              </w:rPr>
            </w:pPr>
            <w:r w:rsidRPr="00322FF2">
              <w:rPr>
                <w:lang w:val="en-US"/>
              </w:rPr>
              <w:t xml:space="preserve">- Sensorimotor, stability and improving exercises </w:t>
            </w:r>
          </w:p>
          <w:p w14:paraId="2DA4338D" w14:textId="77777777" w:rsidR="003004C2" w:rsidRPr="00322FF2" w:rsidRDefault="003004C2" w:rsidP="003004C2">
            <w:pPr>
              <w:rPr>
                <w:lang w:val="en-US"/>
              </w:rPr>
            </w:pPr>
            <w:r w:rsidRPr="00322FF2">
              <w:rPr>
                <w:lang w:val="en-US"/>
              </w:rPr>
              <w:t>- Rolling, stretching (plantar fascia, shank muscles)</w:t>
            </w:r>
          </w:p>
          <w:p w14:paraId="0F5A7F98" w14:textId="77777777" w:rsidR="003004C2" w:rsidRDefault="003004C2" w:rsidP="003004C2">
            <w:r>
              <w:t>- Edema prevention</w:t>
            </w:r>
          </w:p>
        </w:tc>
        <w:tc>
          <w:tcPr>
            <w:tcW w:w="3114" w:type="dxa"/>
            <w:tcBorders>
              <w:top w:val="single" w:sz="4" w:space="0" w:color="auto"/>
            </w:tcBorders>
            <w:shd w:val="clear" w:color="auto" w:fill="auto"/>
          </w:tcPr>
          <w:p w14:paraId="1DDD95C1" w14:textId="77777777" w:rsidR="003004C2" w:rsidRPr="00322FF2" w:rsidRDefault="003004C2" w:rsidP="003004C2">
            <w:pPr>
              <w:rPr>
                <w:lang w:val="en-US"/>
              </w:rPr>
            </w:pPr>
            <w:r w:rsidRPr="00322FF2">
              <w:rPr>
                <w:lang w:val="en-US"/>
              </w:rPr>
              <w:t>- Full range of motion in the ankle and foot joints</w:t>
            </w:r>
          </w:p>
          <w:p w14:paraId="58C6D50B" w14:textId="77777777" w:rsidR="003004C2" w:rsidRPr="00322FF2" w:rsidRDefault="003004C2" w:rsidP="003004C2">
            <w:pPr>
              <w:rPr>
                <w:lang w:val="en-US"/>
              </w:rPr>
            </w:pPr>
            <w:r w:rsidRPr="00322FF2">
              <w:rPr>
                <w:lang w:val="en-US"/>
              </w:rPr>
              <w:t>- Continuation of active and resistance exercises of the foot and ankle</w:t>
            </w:r>
          </w:p>
          <w:p w14:paraId="5EE7EF38" w14:textId="4C9C6329" w:rsidR="003004C2" w:rsidRPr="00322FF2" w:rsidRDefault="003004C2" w:rsidP="003004C2">
            <w:pPr>
              <w:rPr>
                <w:lang w:val="en-US"/>
              </w:rPr>
            </w:pPr>
            <w:r w:rsidRPr="00322FF2">
              <w:rPr>
                <w:lang w:val="en-US"/>
              </w:rPr>
              <w:t xml:space="preserve">- Progressive </w:t>
            </w:r>
            <w:r w:rsidR="00D12659">
              <w:rPr>
                <w:lang w:val="en-US"/>
              </w:rPr>
              <w:t>strength training of the trunk,</w:t>
            </w:r>
            <w:r w:rsidRPr="00322FF2">
              <w:rPr>
                <w:lang w:val="en-US"/>
              </w:rPr>
              <w:t xml:space="preserve"> lower and upper limbs muscles</w:t>
            </w:r>
          </w:p>
          <w:p w14:paraId="02D12A96" w14:textId="77777777" w:rsidR="003004C2" w:rsidRPr="00322FF2" w:rsidRDefault="003004C2" w:rsidP="003004C2">
            <w:pPr>
              <w:rPr>
                <w:lang w:val="en-US"/>
              </w:rPr>
            </w:pPr>
            <w:r w:rsidRPr="00322FF2">
              <w:rPr>
                <w:lang w:val="en-US"/>
              </w:rPr>
              <w:t>- Progression of sensorimotor and stability exercises</w:t>
            </w:r>
          </w:p>
          <w:p w14:paraId="2D5B7DE8" w14:textId="77777777" w:rsidR="003004C2" w:rsidRPr="00322FF2" w:rsidRDefault="003004C2" w:rsidP="003004C2">
            <w:pPr>
              <w:rPr>
                <w:lang w:val="en-US"/>
              </w:rPr>
            </w:pPr>
            <w:r w:rsidRPr="00322FF2">
              <w:rPr>
                <w:lang w:val="en-US"/>
              </w:rPr>
              <w:t>- General conditioning exercises (e.g. running on anti-gravity treadmill)</w:t>
            </w:r>
          </w:p>
          <w:p w14:paraId="29F9F6B7" w14:textId="77777777" w:rsidR="003004C2" w:rsidRPr="00322FF2" w:rsidRDefault="003004C2" w:rsidP="003004C2">
            <w:pPr>
              <w:rPr>
                <w:lang w:val="en-US"/>
              </w:rPr>
            </w:pPr>
            <w:r w:rsidRPr="00322FF2">
              <w:rPr>
                <w:lang w:val="en-US"/>
              </w:rPr>
              <w:t>Progressive training taking into account the specificity of soccer and the player position on the pitch:</w:t>
            </w:r>
          </w:p>
          <w:p w14:paraId="757A9542" w14:textId="77777777" w:rsidR="003004C2" w:rsidRPr="00322FF2" w:rsidRDefault="003004C2" w:rsidP="003004C2">
            <w:pPr>
              <w:rPr>
                <w:lang w:val="en-US"/>
              </w:rPr>
            </w:pPr>
            <w:r w:rsidRPr="00322FF2">
              <w:rPr>
                <w:lang w:val="en-US"/>
              </w:rPr>
              <w:t>- Exercises shaping motor skills</w:t>
            </w:r>
          </w:p>
          <w:p w14:paraId="7ABCE974" w14:textId="77777777" w:rsidR="003004C2" w:rsidRPr="00322FF2" w:rsidRDefault="003004C2" w:rsidP="003004C2">
            <w:pPr>
              <w:rPr>
                <w:lang w:val="en-US"/>
              </w:rPr>
            </w:pPr>
            <w:r w:rsidRPr="00322FF2">
              <w:rPr>
                <w:lang w:val="en-US"/>
              </w:rPr>
              <w:t>and coordination of the soccer player</w:t>
            </w:r>
          </w:p>
          <w:p w14:paraId="3C54F74F" w14:textId="77777777" w:rsidR="003004C2" w:rsidRPr="00322FF2" w:rsidRDefault="003004C2" w:rsidP="003004C2">
            <w:pPr>
              <w:rPr>
                <w:lang w:val="en-US"/>
              </w:rPr>
            </w:pPr>
            <w:r w:rsidRPr="00322FF2">
              <w:rPr>
                <w:lang w:val="en-US"/>
              </w:rPr>
              <w:t>- Plyometric training</w:t>
            </w:r>
          </w:p>
          <w:p w14:paraId="22A06865" w14:textId="77777777" w:rsidR="003004C2" w:rsidRPr="00322FF2" w:rsidRDefault="003004C2" w:rsidP="003004C2">
            <w:pPr>
              <w:rPr>
                <w:lang w:val="en-US"/>
              </w:rPr>
            </w:pPr>
            <w:r w:rsidRPr="00322FF2">
              <w:rPr>
                <w:lang w:val="en-US"/>
              </w:rPr>
              <w:t>- Omni-directional movements taking into account rotational moves</w:t>
            </w:r>
          </w:p>
          <w:p w14:paraId="7ED1A43C" w14:textId="77777777" w:rsidR="003004C2" w:rsidRPr="00322FF2" w:rsidRDefault="003004C2" w:rsidP="003004C2">
            <w:pPr>
              <w:rPr>
                <w:lang w:val="en-US"/>
              </w:rPr>
            </w:pPr>
            <w:r w:rsidRPr="00322FF2">
              <w:rPr>
                <w:lang w:val="en-US"/>
              </w:rPr>
              <w:t>- Exercises with the use of a coordination ladder and cones</w:t>
            </w:r>
          </w:p>
          <w:p w14:paraId="4B967ED1" w14:textId="77777777" w:rsidR="003004C2" w:rsidRPr="00322FF2" w:rsidRDefault="003004C2" w:rsidP="003004C2">
            <w:pPr>
              <w:rPr>
                <w:lang w:val="en-US"/>
              </w:rPr>
            </w:pPr>
            <w:r w:rsidRPr="00322FF2">
              <w:rPr>
                <w:lang w:val="en-US"/>
              </w:rPr>
              <w:t>- Shuttle run</w:t>
            </w:r>
          </w:p>
          <w:p w14:paraId="678BFCDA" w14:textId="77777777" w:rsidR="003004C2" w:rsidRPr="00322FF2" w:rsidRDefault="003004C2" w:rsidP="003004C2">
            <w:pPr>
              <w:rPr>
                <w:lang w:val="en-US"/>
              </w:rPr>
            </w:pPr>
            <w:r w:rsidRPr="00322FF2">
              <w:rPr>
                <w:lang w:val="en-US"/>
              </w:rPr>
              <w:t>- Running with different intensity</w:t>
            </w:r>
          </w:p>
          <w:p w14:paraId="00702ABD" w14:textId="77777777" w:rsidR="003004C2" w:rsidRDefault="003004C2" w:rsidP="003004C2">
            <w:r>
              <w:t>- Quick response exercises</w:t>
            </w:r>
          </w:p>
          <w:p w14:paraId="6A244B95" w14:textId="77777777" w:rsidR="003004C2" w:rsidRDefault="003004C2" w:rsidP="003004C2"/>
        </w:tc>
      </w:tr>
    </w:tbl>
    <w:p w14:paraId="1EE8619A" w14:textId="77777777" w:rsidR="000D7F86" w:rsidRDefault="000D7F86" w:rsidP="00282695">
      <w:pPr>
        <w:spacing w:line="360" w:lineRule="auto"/>
        <w:ind w:firstLine="708"/>
        <w:jc w:val="both"/>
        <w:rPr>
          <w:rFonts w:ascii="Times New Roman" w:hAnsi="Times New Roman" w:cs="Times New Roman"/>
          <w:sz w:val="24"/>
        </w:rPr>
      </w:pPr>
    </w:p>
    <w:p w14:paraId="53F51BCC" w14:textId="77777777" w:rsidR="000D7F86" w:rsidRDefault="000D7F86" w:rsidP="00282695">
      <w:pPr>
        <w:spacing w:line="360" w:lineRule="auto"/>
        <w:ind w:firstLine="708"/>
        <w:jc w:val="both"/>
        <w:rPr>
          <w:rFonts w:ascii="Times New Roman" w:hAnsi="Times New Roman" w:cs="Times New Roman"/>
          <w:sz w:val="24"/>
        </w:rPr>
      </w:pPr>
    </w:p>
    <w:p w14:paraId="7D384C8E" w14:textId="77777777" w:rsidR="000D7F86" w:rsidRDefault="000D7F86" w:rsidP="00282695">
      <w:pPr>
        <w:spacing w:line="360" w:lineRule="auto"/>
        <w:ind w:firstLine="708"/>
        <w:jc w:val="both"/>
        <w:rPr>
          <w:rFonts w:ascii="Times New Roman" w:hAnsi="Times New Roman" w:cs="Times New Roman"/>
          <w:sz w:val="24"/>
        </w:rPr>
      </w:pPr>
    </w:p>
    <w:p w14:paraId="475719CA" w14:textId="77777777" w:rsidR="003004C2" w:rsidRDefault="003004C2" w:rsidP="00282695">
      <w:pPr>
        <w:spacing w:line="360" w:lineRule="auto"/>
        <w:ind w:firstLine="708"/>
        <w:jc w:val="both"/>
        <w:rPr>
          <w:rFonts w:ascii="Times New Roman" w:hAnsi="Times New Roman" w:cs="Times New Roman"/>
          <w:sz w:val="24"/>
        </w:rPr>
      </w:pPr>
    </w:p>
    <w:p w14:paraId="738531D2" w14:textId="77777777" w:rsidR="003004C2" w:rsidRDefault="003004C2" w:rsidP="00282695">
      <w:pPr>
        <w:spacing w:line="360" w:lineRule="auto"/>
        <w:ind w:firstLine="708"/>
        <w:jc w:val="both"/>
        <w:rPr>
          <w:rFonts w:ascii="Times New Roman" w:hAnsi="Times New Roman" w:cs="Times New Roman"/>
          <w:sz w:val="24"/>
        </w:rPr>
      </w:pPr>
    </w:p>
    <w:p w14:paraId="41512114" w14:textId="77777777" w:rsidR="000D7F86" w:rsidRDefault="000D7F86" w:rsidP="003004C2">
      <w:pPr>
        <w:spacing w:line="360" w:lineRule="auto"/>
        <w:jc w:val="both"/>
        <w:rPr>
          <w:rFonts w:ascii="Times New Roman" w:hAnsi="Times New Roman" w:cs="Times New Roman"/>
          <w:sz w:val="24"/>
        </w:rPr>
      </w:pPr>
    </w:p>
    <w:p w14:paraId="035FB092" w14:textId="77777777" w:rsidR="00E10C01" w:rsidRDefault="00E10C01" w:rsidP="00E853D7">
      <w:pPr>
        <w:spacing w:line="360" w:lineRule="auto"/>
        <w:jc w:val="both"/>
        <w:rPr>
          <w:rFonts w:ascii="Times New Roman" w:hAnsi="Times New Roman" w:cs="Times New Roman"/>
          <w:sz w:val="24"/>
        </w:rPr>
      </w:pPr>
    </w:p>
    <w:p w14:paraId="7CBBA77F" w14:textId="32D876B6" w:rsidR="00AE6BEE" w:rsidRDefault="00AE6BEE" w:rsidP="00282695">
      <w:pPr>
        <w:spacing w:line="360" w:lineRule="auto"/>
        <w:ind w:firstLine="708"/>
        <w:jc w:val="both"/>
        <w:rPr>
          <w:rFonts w:ascii="Times New Roman" w:hAnsi="Times New Roman" w:cs="Times New Roman"/>
          <w:sz w:val="24"/>
        </w:rPr>
      </w:pPr>
      <w:r>
        <w:rPr>
          <w:noProof/>
          <w:lang w:eastAsia="pl-PL"/>
        </w:rPr>
        <w:lastRenderedPageBreak/>
        <w:drawing>
          <wp:anchor distT="0" distB="0" distL="114300" distR="114300" simplePos="0" relativeHeight="251667456" behindDoc="0" locked="0" layoutInCell="1" allowOverlap="1" wp14:anchorId="4015A46F" wp14:editId="42A13AC9">
            <wp:simplePos x="0" y="0"/>
            <wp:positionH relativeFrom="margin">
              <wp:align>left</wp:align>
            </wp:positionH>
            <wp:positionV relativeFrom="paragraph">
              <wp:posOffset>-7620</wp:posOffset>
            </wp:positionV>
            <wp:extent cx="3240000" cy="5168173"/>
            <wp:effectExtent l="0" t="0" r="0" b="0"/>
            <wp:wrapNone/>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cstate="print">
                      <a:extLst>
                        <a:ext uri="{28A0092B-C50C-407E-A947-70E740481C1C}">
                          <a14:useLocalDpi xmlns:a14="http://schemas.microsoft.com/office/drawing/2010/main" val="0"/>
                        </a:ext>
                      </a:extLst>
                    </a:blip>
                    <a:srcRect l="23814" t="9055" r="46550" b="6905"/>
                    <a:stretch/>
                  </pic:blipFill>
                  <pic:spPr bwMode="auto">
                    <a:xfrm>
                      <a:off x="0" y="0"/>
                      <a:ext cx="3240000" cy="5168173"/>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6159F42" w14:textId="06D84B96" w:rsidR="00AE6BEE" w:rsidRDefault="00AE6BEE" w:rsidP="00282695">
      <w:pPr>
        <w:spacing w:line="360" w:lineRule="auto"/>
        <w:ind w:firstLine="708"/>
        <w:jc w:val="both"/>
        <w:rPr>
          <w:rFonts w:ascii="Times New Roman" w:hAnsi="Times New Roman" w:cs="Times New Roman"/>
          <w:sz w:val="24"/>
        </w:rPr>
      </w:pPr>
    </w:p>
    <w:p w14:paraId="468B8503" w14:textId="34374AE8" w:rsidR="00AE6BEE" w:rsidRDefault="00AE6BEE" w:rsidP="00282695">
      <w:pPr>
        <w:spacing w:line="360" w:lineRule="auto"/>
        <w:ind w:firstLine="708"/>
        <w:jc w:val="both"/>
        <w:rPr>
          <w:rFonts w:ascii="Times New Roman" w:hAnsi="Times New Roman" w:cs="Times New Roman"/>
          <w:sz w:val="24"/>
        </w:rPr>
      </w:pPr>
    </w:p>
    <w:p w14:paraId="717A9C5A" w14:textId="36598F5E" w:rsidR="00AE6BEE" w:rsidRDefault="00AE6BEE" w:rsidP="00282695">
      <w:pPr>
        <w:spacing w:line="360" w:lineRule="auto"/>
        <w:ind w:firstLine="708"/>
        <w:jc w:val="both"/>
        <w:rPr>
          <w:rFonts w:ascii="Times New Roman" w:hAnsi="Times New Roman" w:cs="Times New Roman"/>
          <w:sz w:val="24"/>
        </w:rPr>
      </w:pPr>
    </w:p>
    <w:p w14:paraId="07CD27DA" w14:textId="29EB9528" w:rsidR="00AE6BEE" w:rsidRDefault="00AE6BEE" w:rsidP="00282695">
      <w:pPr>
        <w:spacing w:line="360" w:lineRule="auto"/>
        <w:ind w:firstLine="708"/>
        <w:jc w:val="both"/>
        <w:rPr>
          <w:rFonts w:ascii="Times New Roman" w:hAnsi="Times New Roman" w:cs="Times New Roman"/>
          <w:sz w:val="24"/>
        </w:rPr>
      </w:pPr>
    </w:p>
    <w:p w14:paraId="647E931C" w14:textId="0EA47104" w:rsidR="00AE6BEE" w:rsidRDefault="00AE6BEE" w:rsidP="00282695">
      <w:pPr>
        <w:spacing w:line="360" w:lineRule="auto"/>
        <w:ind w:firstLine="708"/>
        <w:jc w:val="both"/>
        <w:rPr>
          <w:rFonts w:ascii="Times New Roman" w:hAnsi="Times New Roman" w:cs="Times New Roman"/>
          <w:sz w:val="24"/>
        </w:rPr>
      </w:pPr>
    </w:p>
    <w:p w14:paraId="66DE8CDC" w14:textId="3870002E" w:rsidR="00AE6BEE" w:rsidRDefault="00AE6BEE" w:rsidP="00282695">
      <w:pPr>
        <w:spacing w:line="360" w:lineRule="auto"/>
        <w:ind w:firstLine="708"/>
        <w:jc w:val="both"/>
        <w:rPr>
          <w:rFonts w:ascii="Times New Roman" w:hAnsi="Times New Roman" w:cs="Times New Roman"/>
          <w:sz w:val="24"/>
        </w:rPr>
      </w:pPr>
    </w:p>
    <w:p w14:paraId="02CEBF26" w14:textId="59A21D96" w:rsidR="00AE6BEE" w:rsidRDefault="00AE6BEE" w:rsidP="00282695">
      <w:pPr>
        <w:spacing w:line="360" w:lineRule="auto"/>
        <w:ind w:firstLine="708"/>
        <w:jc w:val="both"/>
        <w:rPr>
          <w:rFonts w:ascii="Times New Roman" w:hAnsi="Times New Roman" w:cs="Times New Roman"/>
          <w:sz w:val="24"/>
        </w:rPr>
      </w:pPr>
    </w:p>
    <w:p w14:paraId="5087C582" w14:textId="4C096A52" w:rsidR="00AE6BEE" w:rsidRDefault="00AE6BEE" w:rsidP="00282695">
      <w:pPr>
        <w:spacing w:line="360" w:lineRule="auto"/>
        <w:ind w:firstLine="708"/>
        <w:jc w:val="both"/>
        <w:rPr>
          <w:rFonts w:ascii="Times New Roman" w:hAnsi="Times New Roman" w:cs="Times New Roman"/>
          <w:sz w:val="24"/>
        </w:rPr>
      </w:pPr>
    </w:p>
    <w:p w14:paraId="03B0E89F" w14:textId="7DA0F806" w:rsidR="00AE6BEE" w:rsidRDefault="00AE6BEE" w:rsidP="00282695">
      <w:pPr>
        <w:spacing w:line="360" w:lineRule="auto"/>
        <w:ind w:firstLine="708"/>
        <w:jc w:val="both"/>
        <w:rPr>
          <w:rFonts w:ascii="Times New Roman" w:hAnsi="Times New Roman" w:cs="Times New Roman"/>
          <w:sz w:val="24"/>
        </w:rPr>
      </w:pPr>
    </w:p>
    <w:p w14:paraId="34D8BE74" w14:textId="3462C183" w:rsidR="00AE6BEE" w:rsidRDefault="00AE6BEE" w:rsidP="00282695">
      <w:pPr>
        <w:spacing w:line="360" w:lineRule="auto"/>
        <w:ind w:firstLine="708"/>
        <w:jc w:val="both"/>
        <w:rPr>
          <w:rFonts w:ascii="Times New Roman" w:hAnsi="Times New Roman" w:cs="Times New Roman"/>
          <w:sz w:val="24"/>
        </w:rPr>
      </w:pPr>
    </w:p>
    <w:p w14:paraId="7A0F45CC" w14:textId="04B9A4AB" w:rsidR="00AE6BEE" w:rsidRDefault="00AE6BEE" w:rsidP="00282695">
      <w:pPr>
        <w:spacing w:line="360" w:lineRule="auto"/>
        <w:ind w:firstLine="708"/>
        <w:jc w:val="both"/>
        <w:rPr>
          <w:rFonts w:ascii="Times New Roman" w:hAnsi="Times New Roman" w:cs="Times New Roman"/>
          <w:sz w:val="24"/>
        </w:rPr>
      </w:pPr>
    </w:p>
    <w:p w14:paraId="38EFD9E2" w14:textId="1B92B007" w:rsidR="00E10C01" w:rsidRDefault="00E10C01" w:rsidP="00282695">
      <w:pPr>
        <w:spacing w:line="360" w:lineRule="auto"/>
        <w:ind w:firstLine="708"/>
        <w:jc w:val="both"/>
        <w:rPr>
          <w:rFonts w:ascii="Times New Roman" w:hAnsi="Times New Roman" w:cs="Times New Roman"/>
          <w:sz w:val="24"/>
        </w:rPr>
      </w:pPr>
    </w:p>
    <w:p w14:paraId="3E5903D1" w14:textId="006FD54B" w:rsidR="00AE6BEE" w:rsidRDefault="00AE6BEE" w:rsidP="00282695">
      <w:pPr>
        <w:spacing w:line="360" w:lineRule="auto"/>
        <w:ind w:firstLine="708"/>
        <w:jc w:val="both"/>
        <w:rPr>
          <w:rFonts w:ascii="Times New Roman" w:hAnsi="Times New Roman" w:cs="Times New Roman"/>
          <w:sz w:val="24"/>
        </w:rPr>
      </w:pPr>
    </w:p>
    <w:p w14:paraId="54D87B91" w14:textId="6565579E" w:rsidR="00AE6BEE" w:rsidRDefault="00AE6BEE" w:rsidP="00282695">
      <w:pPr>
        <w:spacing w:line="360" w:lineRule="auto"/>
        <w:ind w:firstLine="708"/>
        <w:jc w:val="both"/>
        <w:rPr>
          <w:rFonts w:ascii="Times New Roman" w:hAnsi="Times New Roman" w:cs="Times New Roman"/>
          <w:sz w:val="24"/>
        </w:rPr>
      </w:pPr>
      <w:r>
        <w:rPr>
          <w:noProof/>
          <w:lang w:eastAsia="pl-PL"/>
        </w:rPr>
        <mc:AlternateContent>
          <mc:Choice Requires="wps">
            <w:drawing>
              <wp:anchor distT="0" distB="0" distL="114300" distR="114300" simplePos="0" relativeHeight="251665408" behindDoc="0" locked="0" layoutInCell="1" allowOverlap="1" wp14:anchorId="65E5939B" wp14:editId="509A3063">
                <wp:simplePos x="0" y="0"/>
                <wp:positionH relativeFrom="margin">
                  <wp:align>left</wp:align>
                </wp:positionH>
                <wp:positionV relativeFrom="paragraph">
                  <wp:posOffset>147955</wp:posOffset>
                </wp:positionV>
                <wp:extent cx="3239770" cy="635"/>
                <wp:effectExtent l="0" t="0" r="0" b="0"/>
                <wp:wrapNone/>
                <wp:docPr id="1" name="Pole tekstowe 1"/>
                <wp:cNvGraphicFramePr/>
                <a:graphic xmlns:a="http://schemas.openxmlformats.org/drawingml/2006/main">
                  <a:graphicData uri="http://schemas.microsoft.com/office/word/2010/wordprocessingShape">
                    <wps:wsp>
                      <wps:cNvSpPr txBox="1"/>
                      <wps:spPr>
                        <a:xfrm>
                          <a:off x="0" y="0"/>
                          <a:ext cx="3239770" cy="635"/>
                        </a:xfrm>
                        <a:prstGeom prst="rect">
                          <a:avLst/>
                        </a:prstGeom>
                        <a:solidFill>
                          <a:prstClr val="white"/>
                        </a:solidFill>
                        <a:ln>
                          <a:noFill/>
                        </a:ln>
                        <a:effectLst/>
                      </wps:spPr>
                      <wps:txbx>
                        <w:txbxContent>
                          <w:p w14:paraId="08D4964F" w14:textId="3B6845CA" w:rsidR="00292395" w:rsidRPr="009C5CBE" w:rsidRDefault="00670287" w:rsidP="00AE6BEE">
                            <w:pPr>
                              <w:pStyle w:val="Legenda"/>
                              <w:jc w:val="both"/>
                              <w:rPr>
                                <w:rFonts w:ascii="Times New Roman" w:hAnsi="Times New Roman" w:cs="Times New Roman"/>
                                <w:color w:val="auto"/>
                                <w:sz w:val="24"/>
                                <w:lang w:val="en-US"/>
                              </w:rPr>
                            </w:pPr>
                            <w:r w:rsidRPr="006B400C">
                              <w:rPr>
                                <w:rFonts w:ascii="Times New Roman" w:hAnsi="Times New Roman" w:cs="Times New Roman"/>
                                <w:b/>
                                <w:color w:val="auto"/>
                                <w:sz w:val="24"/>
                                <w:lang w:val="en-US"/>
                              </w:rPr>
                              <w:t xml:space="preserve">Fig. </w:t>
                            </w:r>
                            <w:r w:rsidR="000D7F86" w:rsidRPr="006B400C">
                              <w:rPr>
                                <w:rFonts w:ascii="Times New Roman" w:hAnsi="Times New Roman" w:cs="Times New Roman"/>
                                <w:b/>
                                <w:color w:val="auto"/>
                                <w:sz w:val="24"/>
                                <w:lang w:val="en-US"/>
                              </w:rPr>
                              <w:t>1</w:t>
                            </w:r>
                            <w:r w:rsidR="00292395" w:rsidRPr="009C5CBE">
                              <w:rPr>
                                <w:rFonts w:ascii="Times New Roman" w:hAnsi="Times New Roman" w:cs="Times New Roman"/>
                                <w:color w:val="auto"/>
                                <w:sz w:val="24"/>
                                <w:lang w:val="en-US"/>
                              </w:rPr>
                              <w:t>. X-</w:t>
                            </w:r>
                            <w:r w:rsidRPr="009C5CBE">
                              <w:rPr>
                                <w:rFonts w:ascii="Times New Roman" w:hAnsi="Times New Roman" w:cs="Times New Roman"/>
                                <w:color w:val="auto"/>
                                <w:sz w:val="24"/>
                                <w:lang w:val="en-US"/>
                              </w:rPr>
                              <w:t>ray of</w:t>
                            </w:r>
                            <w:r w:rsidR="00292395" w:rsidRPr="009C5CBE">
                              <w:rPr>
                                <w:rFonts w:ascii="Times New Roman" w:hAnsi="Times New Roman" w:cs="Times New Roman"/>
                                <w:color w:val="auto"/>
                                <w:sz w:val="24"/>
                                <w:lang w:val="en-US"/>
                              </w:rPr>
                              <w:t xml:space="preserve"> fifth metatarsal fracture in</w:t>
                            </w:r>
                            <w:r w:rsidRPr="009C5CBE">
                              <w:rPr>
                                <w:rFonts w:ascii="Times New Roman" w:hAnsi="Times New Roman" w:cs="Times New Roman"/>
                                <w:color w:val="auto"/>
                                <w:sz w:val="24"/>
                                <w:lang w:val="en-US"/>
                              </w:rPr>
                              <w:t xml:space="preserve"> </w:t>
                            </w:r>
                            <w:r w:rsidR="00292395" w:rsidRPr="009C5CBE">
                              <w:rPr>
                                <w:rFonts w:ascii="Times New Roman" w:hAnsi="Times New Roman" w:cs="Times New Roman"/>
                                <w:color w:val="auto"/>
                                <w:sz w:val="24"/>
                                <w:lang w:val="en-US"/>
                              </w:rPr>
                              <w:t>left foot in an elite soccer player: A</w:t>
                            </w:r>
                            <w:r w:rsidR="00655972">
                              <w:rPr>
                                <w:rFonts w:ascii="Times New Roman" w:hAnsi="Times New Roman" w:cs="Times New Roman"/>
                                <w:color w:val="auto"/>
                                <w:sz w:val="24"/>
                                <w:lang w:val="en-US"/>
                              </w:rPr>
                              <w:t>-</w:t>
                            </w:r>
                            <w:r w:rsidR="00AE6BEE" w:rsidRPr="009C5CBE">
                              <w:rPr>
                                <w:rFonts w:ascii="Times New Roman" w:hAnsi="Times New Roman" w:cs="Times New Roman"/>
                                <w:color w:val="auto"/>
                                <w:sz w:val="24"/>
                                <w:lang w:val="en-US"/>
                              </w:rPr>
                              <w:t>lateral, before surgery; B- ante</w:t>
                            </w:r>
                            <w:r w:rsidR="00655972">
                              <w:rPr>
                                <w:rFonts w:ascii="Times New Roman" w:hAnsi="Times New Roman" w:cs="Times New Roman"/>
                                <w:color w:val="auto"/>
                                <w:sz w:val="24"/>
                                <w:lang w:val="en-US"/>
                              </w:rPr>
                              <w:t>roposterior, before surgery; C-</w:t>
                            </w:r>
                            <w:r w:rsidR="00AE6BEE" w:rsidRPr="009C5CBE">
                              <w:rPr>
                                <w:rFonts w:ascii="Times New Roman" w:hAnsi="Times New Roman" w:cs="Times New Roman"/>
                                <w:color w:val="auto"/>
                                <w:sz w:val="24"/>
                                <w:lang w:val="en-US"/>
                              </w:rPr>
                              <w:t>anteroposterior postoperatively after open reduction.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65E5939B" id="_x0000_t202" coordsize="21600,21600" o:spt="202" path="m,l,21600r21600,l21600,xe">
                <v:stroke joinstyle="miter"/>
                <v:path gradientshapeok="t" o:connecttype="rect"/>
              </v:shapetype>
              <v:shape id="Pole tekstowe 1" o:spid="_x0000_s1026" type="#_x0000_t202" style="position:absolute;left:0;text-align:left;margin-left:0;margin-top:11.65pt;width:255.1pt;height:.05pt;z-index:251665408;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" stroked="f">
                <v:textbox style="mso-fit-shape-to-text:t" inset="0,0,0,0">
                  <w:txbxContent>
                    <w:p w14:paraId="08D4964F" w14:textId="3B6845CA" w:rsidR="00292395" w:rsidRPr="009C5CBE" w:rsidRDefault="00670287" w:rsidP="00AE6BEE">
                      <w:pPr>
                        <w:pStyle w:val="Legenda"/>
                        <w:jc w:val="both"/>
                        <w:rPr>
                          <w:rFonts w:ascii="Times New Roman" w:hAnsi="Times New Roman" w:cs="Times New Roman"/>
                          <w:color w:val="auto"/>
                          <w:sz w:val="24"/>
                          <w:lang w:val="en-US"/>
                        </w:rPr>
                      </w:pPr>
                      <w:r w:rsidRPr="006B400C">
                        <w:rPr>
                          <w:rFonts w:ascii="Times New Roman" w:hAnsi="Times New Roman" w:cs="Times New Roman"/>
                          <w:b/>
                          <w:color w:val="auto"/>
                          <w:sz w:val="24"/>
                          <w:lang w:val="en-US"/>
                        </w:rPr>
                        <w:t xml:space="preserve">Fig. </w:t>
                      </w:r>
                      <w:r w:rsidR="000D7F86" w:rsidRPr="006B400C">
                        <w:rPr>
                          <w:rFonts w:ascii="Times New Roman" w:hAnsi="Times New Roman" w:cs="Times New Roman"/>
                          <w:b/>
                          <w:color w:val="auto"/>
                          <w:sz w:val="24"/>
                          <w:lang w:val="en-US"/>
                        </w:rPr>
                        <w:t>1</w:t>
                      </w:r>
                      <w:r w:rsidR="00292395" w:rsidRPr="009C5CBE">
                        <w:rPr>
                          <w:rFonts w:ascii="Times New Roman" w:hAnsi="Times New Roman" w:cs="Times New Roman"/>
                          <w:color w:val="auto"/>
                          <w:sz w:val="24"/>
                          <w:lang w:val="en-US"/>
                        </w:rPr>
                        <w:t>. X-</w:t>
                      </w:r>
                      <w:r w:rsidRPr="009C5CBE">
                        <w:rPr>
                          <w:rFonts w:ascii="Times New Roman" w:hAnsi="Times New Roman" w:cs="Times New Roman"/>
                          <w:color w:val="auto"/>
                          <w:sz w:val="24"/>
                          <w:lang w:val="en-US"/>
                        </w:rPr>
                        <w:t>ray of</w:t>
                      </w:r>
                      <w:r w:rsidR="00292395" w:rsidRPr="009C5CBE">
                        <w:rPr>
                          <w:rFonts w:ascii="Times New Roman" w:hAnsi="Times New Roman" w:cs="Times New Roman"/>
                          <w:color w:val="auto"/>
                          <w:sz w:val="24"/>
                          <w:lang w:val="en-US"/>
                        </w:rPr>
                        <w:t xml:space="preserve"> fifth metatarsal fracture in</w:t>
                      </w:r>
                      <w:r w:rsidRPr="009C5CBE">
                        <w:rPr>
                          <w:rFonts w:ascii="Times New Roman" w:hAnsi="Times New Roman" w:cs="Times New Roman"/>
                          <w:color w:val="auto"/>
                          <w:sz w:val="24"/>
                          <w:lang w:val="en-US"/>
                        </w:rPr>
                        <w:t xml:space="preserve"> </w:t>
                      </w:r>
                      <w:r w:rsidR="00292395" w:rsidRPr="009C5CBE">
                        <w:rPr>
                          <w:rFonts w:ascii="Times New Roman" w:hAnsi="Times New Roman" w:cs="Times New Roman"/>
                          <w:color w:val="auto"/>
                          <w:sz w:val="24"/>
                          <w:lang w:val="en-US"/>
                        </w:rPr>
                        <w:t>left foot in an elite soccer player: A</w:t>
                      </w:r>
                      <w:r w:rsidR="00655972">
                        <w:rPr>
                          <w:rFonts w:ascii="Times New Roman" w:hAnsi="Times New Roman" w:cs="Times New Roman"/>
                          <w:color w:val="auto"/>
                          <w:sz w:val="24"/>
                          <w:lang w:val="en-US"/>
                        </w:rPr>
                        <w:t>-</w:t>
                      </w:r>
                      <w:r w:rsidR="00AE6BEE" w:rsidRPr="009C5CBE">
                        <w:rPr>
                          <w:rFonts w:ascii="Times New Roman" w:hAnsi="Times New Roman" w:cs="Times New Roman"/>
                          <w:color w:val="auto"/>
                          <w:sz w:val="24"/>
                          <w:lang w:val="en-US"/>
                        </w:rPr>
                        <w:t>lateral, before surgery; B- ante</w:t>
                      </w:r>
                      <w:r w:rsidR="00655972">
                        <w:rPr>
                          <w:rFonts w:ascii="Times New Roman" w:hAnsi="Times New Roman" w:cs="Times New Roman"/>
                          <w:color w:val="auto"/>
                          <w:sz w:val="24"/>
                          <w:lang w:val="en-US"/>
                        </w:rPr>
                        <w:t>roposterior, before surgery; C-</w:t>
                      </w:r>
                      <w:r w:rsidR="00AE6BEE" w:rsidRPr="009C5CBE">
                        <w:rPr>
                          <w:rFonts w:ascii="Times New Roman" w:hAnsi="Times New Roman" w:cs="Times New Roman"/>
                          <w:color w:val="auto"/>
                          <w:sz w:val="24"/>
                          <w:lang w:val="en-US"/>
                        </w:rPr>
                        <w:t>anteroposterior postoperatively after open reduction.</w:t>
                      </w:r>
                    </w:p>
                  </w:txbxContent>
                </v:textbox>
                <w10:wrap anchorx="margin"/>
              </v:shape>
            </w:pict>
          </mc:Fallback>
        </mc:AlternateContent>
      </w:r>
    </w:p>
    <w:p w14:paraId="10094B3C" w14:textId="66910B24" w:rsidR="00AE6BEE" w:rsidRDefault="00AE6BEE" w:rsidP="00282695">
      <w:pPr>
        <w:spacing w:line="360" w:lineRule="auto"/>
        <w:ind w:firstLine="708"/>
        <w:jc w:val="both"/>
        <w:rPr>
          <w:rFonts w:ascii="Times New Roman" w:hAnsi="Times New Roman" w:cs="Times New Roman"/>
          <w:sz w:val="24"/>
        </w:rPr>
      </w:pPr>
    </w:p>
    <w:p w14:paraId="4F98034E" w14:textId="06F5881E" w:rsidR="00AE6BEE" w:rsidRDefault="00AE6BEE" w:rsidP="00282695">
      <w:pPr>
        <w:spacing w:line="360" w:lineRule="auto"/>
        <w:ind w:firstLine="708"/>
        <w:jc w:val="both"/>
        <w:rPr>
          <w:rFonts w:ascii="Times New Roman" w:hAnsi="Times New Roman" w:cs="Times New Roman"/>
          <w:sz w:val="24"/>
        </w:rPr>
      </w:pPr>
    </w:p>
    <w:p w14:paraId="5A36F144" w14:textId="0F70CC3D" w:rsidR="00AE6BEE" w:rsidRDefault="00AE6BEE" w:rsidP="00AE6BEE">
      <w:pPr>
        <w:keepNext/>
        <w:spacing w:line="360" w:lineRule="auto"/>
        <w:ind w:firstLine="708"/>
        <w:jc w:val="both"/>
      </w:pPr>
    </w:p>
    <w:p w14:paraId="57D63FEB" w14:textId="3C328882" w:rsidR="00E10C01" w:rsidRPr="009C5CBE" w:rsidRDefault="00E10C01" w:rsidP="00282695">
      <w:pPr>
        <w:spacing w:line="360" w:lineRule="auto"/>
        <w:ind w:firstLine="708"/>
        <w:jc w:val="both"/>
        <w:rPr>
          <w:rFonts w:ascii="Times New Roman" w:hAnsi="Times New Roman" w:cs="Times New Roman"/>
          <w:sz w:val="24"/>
          <w:lang w:val="en-US"/>
        </w:rPr>
      </w:pPr>
    </w:p>
    <w:p w14:paraId="10899B10" w14:textId="7D018BE3" w:rsidR="00670287" w:rsidRPr="009C5CBE" w:rsidRDefault="00670287" w:rsidP="00282695">
      <w:pPr>
        <w:spacing w:line="360" w:lineRule="auto"/>
        <w:ind w:firstLine="708"/>
        <w:jc w:val="both"/>
        <w:rPr>
          <w:rFonts w:ascii="Times New Roman" w:hAnsi="Times New Roman" w:cs="Times New Roman"/>
          <w:sz w:val="24"/>
          <w:lang w:val="en-US"/>
        </w:rPr>
      </w:pPr>
    </w:p>
    <w:p w14:paraId="4DBAC916" w14:textId="081E7208" w:rsidR="00431534" w:rsidRDefault="00431534" w:rsidP="00431534">
      <w:pPr>
        <w:keepNext/>
        <w:spacing w:line="360" w:lineRule="auto"/>
        <w:ind w:firstLine="708"/>
        <w:jc w:val="both"/>
      </w:pPr>
    </w:p>
    <w:p w14:paraId="51BDD83F" w14:textId="77777777" w:rsidR="00431534" w:rsidRDefault="00431534" w:rsidP="00282695">
      <w:pPr>
        <w:spacing w:line="360" w:lineRule="auto"/>
        <w:ind w:firstLine="708"/>
        <w:jc w:val="both"/>
        <w:rPr>
          <w:rFonts w:ascii="Times New Roman" w:hAnsi="Times New Roman" w:cs="Times New Roman"/>
          <w:sz w:val="24"/>
          <w:lang w:val="en-US"/>
        </w:rPr>
      </w:pPr>
    </w:p>
    <w:p w14:paraId="7B1DC33F" w14:textId="77777777" w:rsidR="00431534" w:rsidRDefault="00431534" w:rsidP="00282695">
      <w:pPr>
        <w:spacing w:line="360" w:lineRule="auto"/>
        <w:ind w:firstLine="708"/>
        <w:jc w:val="both"/>
        <w:rPr>
          <w:rFonts w:ascii="Times New Roman" w:hAnsi="Times New Roman" w:cs="Times New Roman"/>
          <w:sz w:val="24"/>
          <w:lang w:val="en-US"/>
        </w:rPr>
      </w:pPr>
    </w:p>
    <w:p w14:paraId="5DC62346" w14:textId="0846FE43" w:rsidR="00AE6BEE" w:rsidRPr="009C5CBE" w:rsidRDefault="00AE6BEE" w:rsidP="00C2383C">
      <w:pPr>
        <w:spacing w:line="360" w:lineRule="auto"/>
        <w:jc w:val="both"/>
        <w:rPr>
          <w:rFonts w:ascii="Times New Roman" w:hAnsi="Times New Roman" w:cs="Times New Roman"/>
          <w:sz w:val="24"/>
          <w:lang w:val="en-US"/>
        </w:rPr>
      </w:pPr>
    </w:p>
    <w:p w14:paraId="42ECE5A8" w14:textId="77777777" w:rsidR="00C857EE" w:rsidRDefault="00541781" w:rsidP="00403D6F">
      <w:pPr>
        <w:keepNext/>
        <w:spacing w:line="360" w:lineRule="auto"/>
        <w:jc w:val="both"/>
      </w:pPr>
      <w:r w:rsidRPr="00541781">
        <w:rPr>
          <w:rFonts w:ascii="Times New Roman" w:hAnsi="Times New Roman" w:cs="Times New Roman"/>
          <w:noProof/>
          <w:sz w:val="24"/>
          <w:lang w:eastAsia="pl-PL"/>
        </w:rPr>
        <w:lastRenderedPageBreak/>
        <w:drawing>
          <wp:inline distT="0" distB="0" distL="0" distR="0" wp14:anchorId="422492CC" wp14:editId="120E2160">
            <wp:extent cx="3240000" cy="2746040"/>
            <wp:effectExtent l="0" t="0" r="0" b="0"/>
            <wp:docPr id="8" name="Obraz 8" descr="\\SERWER01\uzytkownicy$\pgwiazdon\Desktop\wykres1_photosh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RWER01\uzytkownicy$\pgwiazdon\Desktop\wykres1_photoshop.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40000" cy="2746040"/>
                    </a:xfrm>
                    <a:prstGeom prst="rect">
                      <a:avLst/>
                    </a:prstGeom>
                    <a:noFill/>
                    <a:ln>
                      <a:noFill/>
                    </a:ln>
                  </pic:spPr>
                </pic:pic>
              </a:graphicData>
            </a:graphic>
          </wp:inline>
        </w:drawing>
      </w:r>
    </w:p>
    <w:p w14:paraId="6F5CF94E" w14:textId="46E79C24" w:rsidR="00AE6BEE" w:rsidRPr="00403D6F" w:rsidRDefault="00C857EE" w:rsidP="00403D6F">
      <w:pPr>
        <w:pStyle w:val="Legenda"/>
        <w:tabs>
          <w:tab w:val="left" w:pos="4962"/>
        </w:tabs>
        <w:ind w:right="3969"/>
        <w:jc w:val="both"/>
        <w:rPr>
          <w:rFonts w:ascii="Times New Roman" w:hAnsi="Times New Roman" w:cs="Times New Roman"/>
          <w:color w:val="auto"/>
          <w:sz w:val="24"/>
        </w:rPr>
      </w:pPr>
      <w:r w:rsidRPr="006B400C">
        <w:rPr>
          <w:rFonts w:ascii="Times New Roman" w:hAnsi="Times New Roman" w:cs="Times New Roman"/>
          <w:b/>
          <w:color w:val="auto"/>
          <w:sz w:val="24"/>
        </w:rPr>
        <w:t xml:space="preserve">Fig. </w:t>
      </w:r>
      <w:r w:rsidR="00C2383C" w:rsidRPr="006B400C">
        <w:rPr>
          <w:rFonts w:ascii="Times New Roman" w:hAnsi="Times New Roman" w:cs="Times New Roman"/>
          <w:b/>
          <w:color w:val="auto"/>
          <w:sz w:val="24"/>
        </w:rPr>
        <w:t>2</w:t>
      </w:r>
      <w:r w:rsidRPr="006B400C">
        <w:rPr>
          <w:rFonts w:ascii="Times New Roman" w:hAnsi="Times New Roman" w:cs="Times New Roman"/>
          <w:b/>
          <w:color w:val="auto"/>
          <w:sz w:val="24"/>
        </w:rPr>
        <w:t>.</w:t>
      </w:r>
      <w:r w:rsidRPr="00403D6F">
        <w:rPr>
          <w:rFonts w:ascii="Times New Roman" w:hAnsi="Times New Roman" w:cs="Times New Roman"/>
          <w:color w:val="auto"/>
          <w:sz w:val="24"/>
        </w:rPr>
        <w:t xml:space="preserve"> </w:t>
      </w:r>
      <w:r w:rsidR="00C2383C" w:rsidRPr="00403D6F">
        <w:rPr>
          <w:rFonts w:ascii="Times New Roman" w:hAnsi="Times New Roman" w:cs="Times New Roman"/>
          <w:color w:val="auto"/>
          <w:sz w:val="24"/>
        </w:rPr>
        <w:t>The time need to return</w:t>
      </w:r>
      <w:r w:rsidRPr="00403D6F">
        <w:rPr>
          <w:rFonts w:ascii="Times New Roman" w:hAnsi="Times New Roman" w:cs="Times New Roman"/>
          <w:color w:val="auto"/>
          <w:sz w:val="24"/>
        </w:rPr>
        <w:t xml:space="preserve"> to play after</w:t>
      </w:r>
      <w:r w:rsidR="00C2383C" w:rsidRPr="00403D6F">
        <w:rPr>
          <w:rFonts w:ascii="Times New Roman" w:hAnsi="Times New Roman" w:cs="Times New Roman"/>
          <w:color w:val="auto"/>
          <w:sz w:val="24"/>
        </w:rPr>
        <w:t xml:space="preserve"> surgical treatment of</w:t>
      </w:r>
      <w:r w:rsidR="00403D6F">
        <w:rPr>
          <w:rFonts w:ascii="Times New Roman" w:hAnsi="Times New Roman" w:cs="Times New Roman"/>
          <w:color w:val="auto"/>
          <w:sz w:val="24"/>
        </w:rPr>
        <w:t xml:space="preserve"> fifth bone fracture -</w:t>
      </w:r>
      <w:r w:rsidRPr="00403D6F">
        <w:rPr>
          <w:rFonts w:ascii="Times New Roman" w:hAnsi="Times New Roman" w:cs="Times New Roman"/>
          <w:color w:val="auto"/>
          <w:sz w:val="24"/>
        </w:rPr>
        <w:t xml:space="preserve"> </w:t>
      </w:r>
      <w:r w:rsidR="00C2383C" w:rsidRPr="00403D6F">
        <w:rPr>
          <w:rFonts w:ascii="Times New Roman" w:hAnsi="Times New Roman" w:cs="Times New Roman"/>
          <w:color w:val="auto"/>
          <w:sz w:val="24"/>
        </w:rPr>
        <w:t>A</w:t>
      </w:r>
      <w:r w:rsidRPr="00403D6F">
        <w:rPr>
          <w:rFonts w:ascii="Times New Roman" w:hAnsi="Times New Roman" w:cs="Times New Roman"/>
          <w:color w:val="auto"/>
          <w:sz w:val="24"/>
        </w:rPr>
        <w:t xml:space="preserve"> onl</w:t>
      </w:r>
      <w:r w:rsidR="00C2383C" w:rsidRPr="00403D6F">
        <w:rPr>
          <w:rFonts w:ascii="Times New Roman" w:hAnsi="Times New Roman" w:cs="Times New Roman"/>
          <w:color w:val="auto"/>
          <w:sz w:val="24"/>
        </w:rPr>
        <w:t xml:space="preserve">y surgical treatment players </w:t>
      </w:r>
      <w:r w:rsidRPr="00403D6F">
        <w:rPr>
          <w:rFonts w:ascii="Times New Roman" w:hAnsi="Times New Roman" w:cs="Times New Roman"/>
          <w:color w:val="auto"/>
          <w:sz w:val="24"/>
        </w:rPr>
        <w:t xml:space="preserve">(n=11), </w:t>
      </w:r>
      <w:r w:rsidR="00C2383C" w:rsidRPr="00403D6F">
        <w:rPr>
          <w:rFonts w:ascii="Times New Roman" w:hAnsi="Times New Roman" w:cs="Times New Roman"/>
          <w:color w:val="auto"/>
          <w:sz w:val="24"/>
        </w:rPr>
        <w:t>-</w:t>
      </w:r>
      <w:r w:rsidR="00403D6F">
        <w:rPr>
          <w:rFonts w:ascii="Times New Roman" w:hAnsi="Times New Roman" w:cs="Times New Roman"/>
          <w:color w:val="auto"/>
          <w:sz w:val="24"/>
        </w:rPr>
        <w:t xml:space="preserve"> </w:t>
      </w:r>
      <w:r w:rsidR="00C2383C" w:rsidRPr="00403D6F">
        <w:rPr>
          <w:rFonts w:ascii="Times New Roman" w:hAnsi="Times New Roman" w:cs="Times New Roman"/>
          <w:color w:val="auto"/>
          <w:sz w:val="24"/>
        </w:rPr>
        <w:t xml:space="preserve">B </w:t>
      </w:r>
      <w:r w:rsidRPr="00403D6F">
        <w:rPr>
          <w:rFonts w:ascii="Times New Roman" w:hAnsi="Times New Roman" w:cs="Times New Roman"/>
          <w:color w:val="auto"/>
          <w:sz w:val="24"/>
        </w:rPr>
        <w:t>players with conservative treatment in the past</w:t>
      </w:r>
      <w:r w:rsidR="00C2383C" w:rsidRPr="00403D6F">
        <w:rPr>
          <w:rFonts w:ascii="Times New Roman" w:hAnsi="Times New Roman" w:cs="Times New Roman"/>
          <w:color w:val="auto"/>
          <w:sz w:val="24"/>
        </w:rPr>
        <w:t xml:space="preserve"> and surgical treatment next </w:t>
      </w:r>
      <w:r w:rsidRPr="00403D6F">
        <w:rPr>
          <w:rFonts w:ascii="Times New Roman" w:hAnsi="Times New Roman" w:cs="Times New Roman"/>
          <w:color w:val="auto"/>
          <w:sz w:val="24"/>
        </w:rPr>
        <w:t xml:space="preserve"> (n=10)</w:t>
      </w:r>
      <w:r w:rsidR="007C6B9A">
        <w:rPr>
          <w:rFonts w:ascii="Times New Roman" w:hAnsi="Times New Roman" w:cs="Times New Roman"/>
          <w:color w:val="auto"/>
          <w:sz w:val="24"/>
        </w:rPr>
        <w:t xml:space="preserve"> (p&gt;0.05)</w:t>
      </w:r>
      <w:r w:rsidRPr="00403D6F">
        <w:rPr>
          <w:rFonts w:ascii="Times New Roman" w:hAnsi="Times New Roman" w:cs="Times New Roman"/>
          <w:color w:val="auto"/>
          <w:sz w:val="24"/>
        </w:rPr>
        <w:t>.</w:t>
      </w:r>
    </w:p>
    <w:p w14:paraId="778164C1" w14:textId="77777777" w:rsidR="00C2383C" w:rsidRDefault="00C2383C" w:rsidP="00C2383C"/>
    <w:p w14:paraId="3A032AF6" w14:textId="77777777" w:rsidR="00C2383C" w:rsidRDefault="00C2383C" w:rsidP="00C2383C"/>
    <w:p w14:paraId="2693FA1B" w14:textId="77777777" w:rsidR="00C2383C" w:rsidRDefault="00C2383C" w:rsidP="00C2383C"/>
    <w:p w14:paraId="15EEB660" w14:textId="77777777" w:rsidR="00C2383C" w:rsidRDefault="00C2383C" w:rsidP="00C2383C"/>
    <w:p w14:paraId="01D74F2E" w14:textId="77777777" w:rsidR="00C2383C" w:rsidRDefault="00C2383C" w:rsidP="00C2383C"/>
    <w:p w14:paraId="3C054412" w14:textId="77777777" w:rsidR="00C2383C" w:rsidRDefault="00C2383C" w:rsidP="00C2383C"/>
    <w:p w14:paraId="31112E66" w14:textId="77777777" w:rsidR="00C2383C" w:rsidRDefault="00C2383C" w:rsidP="00C2383C"/>
    <w:p w14:paraId="7B2DD0F3" w14:textId="77777777" w:rsidR="00C2383C" w:rsidRDefault="00C2383C" w:rsidP="00C2383C"/>
    <w:p w14:paraId="27B5E893" w14:textId="77777777" w:rsidR="00C2383C" w:rsidRDefault="00C2383C" w:rsidP="00C2383C"/>
    <w:p w14:paraId="08A81145" w14:textId="77777777" w:rsidR="00C2383C" w:rsidRPr="00C2383C" w:rsidRDefault="00C2383C" w:rsidP="00C2383C"/>
    <w:p w14:paraId="69D244DE" w14:textId="77777777" w:rsidR="00C857EE" w:rsidRDefault="00C857EE" w:rsidP="00403D6F">
      <w:pPr>
        <w:keepNext/>
        <w:spacing w:line="360" w:lineRule="auto"/>
        <w:jc w:val="both"/>
      </w:pPr>
      <w:r w:rsidRPr="00C857EE">
        <w:rPr>
          <w:rFonts w:ascii="Times New Roman" w:hAnsi="Times New Roman" w:cs="Times New Roman"/>
          <w:noProof/>
          <w:sz w:val="24"/>
          <w:lang w:eastAsia="pl-PL"/>
        </w:rPr>
        <w:lastRenderedPageBreak/>
        <w:drawing>
          <wp:inline distT="0" distB="0" distL="0" distR="0" wp14:anchorId="3185A05B" wp14:editId="54C6B038">
            <wp:extent cx="3239770" cy="2743200"/>
            <wp:effectExtent l="0" t="0" r="0" b="0"/>
            <wp:docPr id="9" name="Obraz 9" descr="\\SERWER01\uzytkownicy$\pgwiazdon\Desktop\wykres2_photosh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ERWER01\uzytkownicy$\pgwiazdon\Desktop\wykres2_photoshop.jpg"/>
                    <pic:cNvPicPr>
                      <a:picLocks noChangeAspect="1" noChangeArrowheads="1"/>
                    </pic:cNvPicPr>
                  </pic:nvPicPr>
                  <pic:blipFill rotWithShape="1">
                    <a:blip r:embed="rId9">
                      <a:extLst>
                        <a:ext uri="{28A0092B-C50C-407E-A947-70E740481C1C}">
                          <a14:useLocalDpi xmlns:a14="http://schemas.microsoft.com/office/drawing/2010/main" val="0"/>
                        </a:ext>
                      </a:extLst>
                    </a:blip>
                    <a:srcRect t="681" b="1310"/>
                    <a:stretch/>
                  </pic:blipFill>
                  <pic:spPr bwMode="auto">
                    <a:xfrm>
                      <a:off x="0" y="0"/>
                      <a:ext cx="3240000" cy="2743395"/>
                    </a:xfrm>
                    <a:prstGeom prst="rect">
                      <a:avLst/>
                    </a:prstGeom>
                    <a:noFill/>
                    <a:ln>
                      <a:noFill/>
                    </a:ln>
                    <a:extLst>
                      <a:ext uri="{53640926-AAD7-44D8-BBD7-CCE9431645EC}">
                        <a14:shadowObscured xmlns:a14="http://schemas.microsoft.com/office/drawing/2010/main"/>
                      </a:ext>
                    </a:extLst>
                  </pic:spPr>
                </pic:pic>
              </a:graphicData>
            </a:graphic>
          </wp:inline>
        </w:drawing>
      </w:r>
    </w:p>
    <w:p w14:paraId="062FBB06" w14:textId="25F6E5CA" w:rsidR="00C857EE" w:rsidRPr="007000A6" w:rsidRDefault="00C857EE" w:rsidP="00403D6F">
      <w:pPr>
        <w:pStyle w:val="Legenda"/>
        <w:ind w:right="3969"/>
        <w:jc w:val="both"/>
        <w:rPr>
          <w:rFonts w:ascii="Times New Roman" w:hAnsi="Times New Roman" w:cs="Times New Roman"/>
          <w:color w:val="auto"/>
          <w:sz w:val="36"/>
          <w:lang w:val="en-US"/>
        </w:rPr>
      </w:pPr>
      <w:r w:rsidRPr="006B400C">
        <w:rPr>
          <w:rFonts w:ascii="Times New Roman" w:hAnsi="Times New Roman" w:cs="Times New Roman"/>
          <w:b/>
          <w:color w:val="auto"/>
          <w:sz w:val="24"/>
        </w:rPr>
        <w:t xml:space="preserve">Fig. </w:t>
      </w:r>
      <w:r w:rsidR="00C2383C" w:rsidRPr="006B400C">
        <w:rPr>
          <w:rFonts w:ascii="Times New Roman" w:hAnsi="Times New Roman" w:cs="Times New Roman"/>
          <w:b/>
          <w:color w:val="auto"/>
          <w:sz w:val="24"/>
        </w:rPr>
        <w:t>3</w:t>
      </w:r>
      <w:r w:rsidRPr="006B400C">
        <w:rPr>
          <w:rFonts w:ascii="Times New Roman" w:hAnsi="Times New Roman" w:cs="Times New Roman"/>
          <w:b/>
          <w:color w:val="auto"/>
          <w:sz w:val="24"/>
        </w:rPr>
        <w:t>.</w:t>
      </w:r>
      <w:r w:rsidRPr="007000A6">
        <w:rPr>
          <w:rFonts w:ascii="Times New Roman" w:hAnsi="Times New Roman" w:cs="Times New Roman"/>
          <w:color w:val="auto"/>
          <w:sz w:val="24"/>
        </w:rPr>
        <w:t xml:space="preserve"> The t</w:t>
      </w:r>
      <w:r w:rsidR="00C2383C" w:rsidRPr="007000A6">
        <w:rPr>
          <w:rFonts w:ascii="Times New Roman" w:hAnsi="Times New Roman" w:cs="Times New Roman"/>
          <w:color w:val="auto"/>
          <w:sz w:val="24"/>
        </w:rPr>
        <w:t>ime</w:t>
      </w:r>
      <w:r w:rsidRPr="007000A6">
        <w:rPr>
          <w:rFonts w:ascii="Times New Roman" w:hAnsi="Times New Roman" w:cs="Times New Roman"/>
          <w:color w:val="auto"/>
          <w:sz w:val="24"/>
        </w:rPr>
        <w:t xml:space="preserve"> of total inability to play</w:t>
      </w:r>
      <w:r w:rsidR="00A26E14">
        <w:rPr>
          <w:rFonts w:ascii="Times New Roman" w:hAnsi="Times New Roman" w:cs="Times New Roman"/>
          <w:color w:val="auto"/>
          <w:sz w:val="24"/>
        </w:rPr>
        <w:t xml:space="preserve"> after fifth bone fracture - A </w:t>
      </w:r>
      <w:r w:rsidRPr="007000A6">
        <w:rPr>
          <w:rFonts w:ascii="Times New Roman" w:hAnsi="Times New Roman" w:cs="Times New Roman"/>
          <w:color w:val="auto"/>
          <w:sz w:val="24"/>
        </w:rPr>
        <w:t>on</w:t>
      </w:r>
      <w:r w:rsidR="007000A6">
        <w:rPr>
          <w:rFonts w:ascii="Times New Roman" w:hAnsi="Times New Roman" w:cs="Times New Roman"/>
          <w:color w:val="auto"/>
          <w:sz w:val="24"/>
        </w:rPr>
        <w:t>ly surgical treatment players</w:t>
      </w:r>
      <w:r w:rsidRPr="007000A6">
        <w:rPr>
          <w:rFonts w:ascii="Times New Roman" w:hAnsi="Times New Roman" w:cs="Times New Roman"/>
          <w:color w:val="auto"/>
          <w:sz w:val="24"/>
        </w:rPr>
        <w:t xml:space="preserve"> (n=11), </w:t>
      </w:r>
      <w:r w:rsidR="00A26E14">
        <w:rPr>
          <w:rFonts w:ascii="Times New Roman" w:hAnsi="Times New Roman" w:cs="Times New Roman"/>
          <w:color w:val="auto"/>
          <w:sz w:val="24"/>
        </w:rPr>
        <w:t xml:space="preserve">- B </w:t>
      </w:r>
      <w:r w:rsidRPr="007000A6">
        <w:rPr>
          <w:rFonts w:ascii="Times New Roman" w:hAnsi="Times New Roman" w:cs="Times New Roman"/>
          <w:color w:val="auto"/>
          <w:sz w:val="24"/>
        </w:rPr>
        <w:t>players with conservative treatment in the past</w:t>
      </w:r>
      <w:r w:rsidR="00A26E14">
        <w:rPr>
          <w:rFonts w:ascii="Times New Roman" w:hAnsi="Times New Roman" w:cs="Times New Roman"/>
          <w:color w:val="auto"/>
          <w:sz w:val="24"/>
        </w:rPr>
        <w:t xml:space="preserve"> and surgical treatment next</w:t>
      </w:r>
      <w:r w:rsidRPr="007000A6">
        <w:rPr>
          <w:rFonts w:ascii="Times New Roman" w:hAnsi="Times New Roman" w:cs="Times New Roman"/>
          <w:color w:val="auto"/>
          <w:sz w:val="24"/>
        </w:rPr>
        <w:t xml:space="preserve"> (n=10)</w:t>
      </w:r>
      <w:r w:rsidR="00A26E14">
        <w:rPr>
          <w:rFonts w:ascii="Times New Roman" w:hAnsi="Times New Roman" w:cs="Times New Roman"/>
          <w:color w:val="auto"/>
          <w:sz w:val="24"/>
        </w:rPr>
        <w:t xml:space="preserve"> (p</w:t>
      </w:r>
      <w:r w:rsidR="004567F8">
        <w:rPr>
          <w:rFonts w:ascii="Times New Roman" w:hAnsi="Times New Roman" w:cs="Times New Roman"/>
          <w:color w:val="auto"/>
          <w:sz w:val="24"/>
        </w:rPr>
        <w:t>=0.00026)</w:t>
      </w:r>
      <w:r w:rsidRPr="007000A6">
        <w:rPr>
          <w:rFonts w:ascii="Times New Roman" w:hAnsi="Times New Roman" w:cs="Times New Roman"/>
          <w:color w:val="auto"/>
          <w:sz w:val="24"/>
        </w:rPr>
        <w:t>.</w:t>
      </w:r>
    </w:p>
    <w:p w14:paraId="2FDCFAEB" w14:textId="77777777" w:rsidR="00C857EE" w:rsidRDefault="00C857EE" w:rsidP="00282695">
      <w:pPr>
        <w:spacing w:line="360" w:lineRule="auto"/>
        <w:ind w:firstLine="708"/>
        <w:jc w:val="both"/>
        <w:rPr>
          <w:rFonts w:ascii="Times New Roman" w:hAnsi="Times New Roman" w:cs="Times New Roman"/>
          <w:sz w:val="24"/>
          <w:lang w:val="en-US"/>
        </w:rPr>
      </w:pPr>
    </w:p>
    <w:p w14:paraId="0D132BE1" w14:textId="77777777" w:rsidR="00403D6F" w:rsidRDefault="00403D6F" w:rsidP="00282695">
      <w:pPr>
        <w:spacing w:line="360" w:lineRule="auto"/>
        <w:ind w:firstLine="708"/>
        <w:jc w:val="both"/>
        <w:rPr>
          <w:rFonts w:ascii="Times New Roman" w:hAnsi="Times New Roman" w:cs="Times New Roman"/>
          <w:sz w:val="24"/>
          <w:lang w:val="en-US"/>
        </w:rPr>
      </w:pPr>
    </w:p>
    <w:p w14:paraId="16FB1AF7" w14:textId="77777777" w:rsidR="007000A6" w:rsidRDefault="007000A6" w:rsidP="00282695">
      <w:pPr>
        <w:spacing w:line="360" w:lineRule="auto"/>
        <w:ind w:firstLine="708"/>
        <w:jc w:val="both"/>
        <w:rPr>
          <w:rFonts w:ascii="Times New Roman" w:hAnsi="Times New Roman" w:cs="Times New Roman"/>
          <w:sz w:val="24"/>
          <w:lang w:val="en-US"/>
        </w:rPr>
      </w:pPr>
    </w:p>
    <w:p w14:paraId="33871FCB" w14:textId="77777777" w:rsidR="00403D6F" w:rsidRDefault="00403D6F" w:rsidP="00282695">
      <w:pPr>
        <w:spacing w:line="360" w:lineRule="auto"/>
        <w:ind w:firstLine="708"/>
        <w:jc w:val="both"/>
        <w:rPr>
          <w:rFonts w:ascii="Times New Roman" w:hAnsi="Times New Roman" w:cs="Times New Roman"/>
          <w:sz w:val="24"/>
          <w:lang w:val="en-US"/>
        </w:rPr>
      </w:pPr>
    </w:p>
    <w:p w14:paraId="61DB8C68" w14:textId="77777777" w:rsidR="00403D6F" w:rsidRDefault="00403D6F" w:rsidP="00282695">
      <w:pPr>
        <w:spacing w:line="360" w:lineRule="auto"/>
        <w:ind w:firstLine="708"/>
        <w:jc w:val="both"/>
        <w:rPr>
          <w:rFonts w:ascii="Times New Roman" w:hAnsi="Times New Roman" w:cs="Times New Roman"/>
          <w:sz w:val="24"/>
          <w:lang w:val="en-US"/>
        </w:rPr>
      </w:pPr>
    </w:p>
    <w:p w14:paraId="3EA64D92" w14:textId="77777777" w:rsidR="00403D6F" w:rsidRDefault="00403D6F" w:rsidP="00282695">
      <w:pPr>
        <w:spacing w:line="360" w:lineRule="auto"/>
        <w:ind w:firstLine="708"/>
        <w:jc w:val="both"/>
        <w:rPr>
          <w:rFonts w:ascii="Times New Roman" w:hAnsi="Times New Roman" w:cs="Times New Roman"/>
          <w:sz w:val="24"/>
          <w:lang w:val="en-US"/>
        </w:rPr>
      </w:pPr>
    </w:p>
    <w:p w14:paraId="1D609D68" w14:textId="77777777" w:rsidR="00C857EE" w:rsidRDefault="00C857EE" w:rsidP="00403D6F">
      <w:pPr>
        <w:keepNext/>
        <w:spacing w:line="360" w:lineRule="auto"/>
        <w:jc w:val="both"/>
      </w:pPr>
      <w:r w:rsidRPr="00C857EE">
        <w:rPr>
          <w:rFonts w:ascii="Times New Roman" w:hAnsi="Times New Roman" w:cs="Times New Roman"/>
          <w:noProof/>
          <w:sz w:val="24"/>
          <w:lang w:eastAsia="pl-PL"/>
        </w:rPr>
        <w:lastRenderedPageBreak/>
        <w:drawing>
          <wp:inline distT="0" distB="0" distL="0" distR="0" wp14:anchorId="2482D19B" wp14:editId="0CF35A15">
            <wp:extent cx="3239135" cy="2749797"/>
            <wp:effectExtent l="0" t="0" r="0" b="0"/>
            <wp:docPr id="10" name="Obraz 10" descr="\\SERWER01\uzytkownicy$\pgwiazdon\Desktop\wykres3nowy_photosh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RWER01\uzytkownicy$\pgwiazdon\Desktop\wykres3nowy_photoshop.jpg"/>
                    <pic:cNvPicPr>
                      <a:picLocks noChangeAspect="1" noChangeArrowheads="1"/>
                    </pic:cNvPicPr>
                  </pic:nvPicPr>
                  <pic:blipFill rotWithShape="1">
                    <a:blip r:embed="rId10">
                      <a:extLst>
                        <a:ext uri="{28A0092B-C50C-407E-A947-70E740481C1C}">
                          <a14:useLocalDpi xmlns:a14="http://schemas.microsoft.com/office/drawing/2010/main" val="0"/>
                        </a:ext>
                      </a:extLst>
                    </a:blip>
                    <a:srcRect t="3348"/>
                    <a:stretch/>
                  </pic:blipFill>
                  <pic:spPr bwMode="auto">
                    <a:xfrm>
                      <a:off x="0" y="0"/>
                      <a:ext cx="3240000" cy="2750531"/>
                    </a:xfrm>
                    <a:prstGeom prst="rect">
                      <a:avLst/>
                    </a:prstGeom>
                    <a:noFill/>
                    <a:ln>
                      <a:noFill/>
                    </a:ln>
                    <a:extLst>
                      <a:ext uri="{53640926-AAD7-44D8-BBD7-CCE9431645EC}">
                        <a14:shadowObscured xmlns:a14="http://schemas.microsoft.com/office/drawing/2010/main"/>
                      </a:ext>
                    </a:extLst>
                  </pic:spPr>
                </pic:pic>
              </a:graphicData>
            </a:graphic>
          </wp:inline>
        </w:drawing>
      </w:r>
    </w:p>
    <w:p w14:paraId="67B45C72" w14:textId="0BDA455C" w:rsidR="00C857EE" w:rsidRPr="007000A6" w:rsidRDefault="00C857EE" w:rsidP="00403D6F">
      <w:pPr>
        <w:pStyle w:val="Legenda"/>
        <w:ind w:right="3969"/>
        <w:jc w:val="both"/>
        <w:rPr>
          <w:rFonts w:ascii="Times New Roman" w:hAnsi="Times New Roman" w:cs="Times New Roman"/>
          <w:color w:val="auto"/>
          <w:sz w:val="36"/>
          <w:lang w:val="en-US"/>
        </w:rPr>
      </w:pPr>
      <w:r w:rsidRPr="006B400C">
        <w:rPr>
          <w:rFonts w:ascii="Times New Roman" w:hAnsi="Times New Roman" w:cs="Times New Roman"/>
          <w:b/>
          <w:color w:val="auto"/>
          <w:sz w:val="24"/>
        </w:rPr>
        <w:t xml:space="preserve">Fig. </w:t>
      </w:r>
      <w:r w:rsidR="00C2383C" w:rsidRPr="006B400C">
        <w:rPr>
          <w:rFonts w:ascii="Times New Roman" w:hAnsi="Times New Roman" w:cs="Times New Roman"/>
          <w:b/>
          <w:color w:val="auto"/>
          <w:sz w:val="24"/>
        </w:rPr>
        <w:t>4</w:t>
      </w:r>
      <w:r w:rsidRPr="006B400C">
        <w:rPr>
          <w:rFonts w:ascii="Times New Roman" w:hAnsi="Times New Roman" w:cs="Times New Roman"/>
          <w:b/>
          <w:color w:val="auto"/>
          <w:sz w:val="24"/>
        </w:rPr>
        <w:t>.</w:t>
      </w:r>
      <w:r w:rsidRPr="007000A6">
        <w:rPr>
          <w:rFonts w:ascii="Times New Roman" w:hAnsi="Times New Roman" w:cs="Times New Roman"/>
          <w:color w:val="auto"/>
          <w:sz w:val="24"/>
        </w:rPr>
        <w:t xml:space="preserve"> The time of total inability to play after fifth bone fracture – </w:t>
      </w:r>
      <w:r w:rsidR="00A26E14">
        <w:rPr>
          <w:rFonts w:ascii="Times New Roman" w:hAnsi="Times New Roman" w:cs="Times New Roman"/>
          <w:color w:val="auto"/>
          <w:sz w:val="24"/>
        </w:rPr>
        <w:t>1 patients</w:t>
      </w:r>
      <w:r w:rsidRPr="007000A6">
        <w:rPr>
          <w:rFonts w:ascii="Times New Roman" w:hAnsi="Times New Roman" w:cs="Times New Roman"/>
          <w:color w:val="auto"/>
          <w:sz w:val="24"/>
        </w:rPr>
        <w:t xml:space="preserve"> with nonunion bone and with mo</w:t>
      </w:r>
      <w:r w:rsidR="00A26E14">
        <w:rPr>
          <w:rFonts w:ascii="Times New Roman" w:hAnsi="Times New Roman" w:cs="Times New Roman"/>
          <w:color w:val="auto"/>
          <w:sz w:val="24"/>
        </w:rPr>
        <w:t xml:space="preserve">dification of treatment type </w:t>
      </w:r>
      <w:r w:rsidRPr="007000A6">
        <w:rPr>
          <w:rFonts w:ascii="Times New Roman" w:hAnsi="Times New Roman" w:cs="Times New Roman"/>
          <w:color w:val="auto"/>
          <w:sz w:val="24"/>
        </w:rPr>
        <w:t>(n=4),</w:t>
      </w:r>
      <w:r w:rsidR="00A26E14">
        <w:rPr>
          <w:rFonts w:ascii="Times New Roman" w:hAnsi="Times New Roman" w:cs="Times New Roman"/>
          <w:color w:val="auto"/>
          <w:sz w:val="24"/>
        </w:rPr>
        <w:t xml:space="preserve"> -2</w:t>
      </w:r>
      <w:r w:rsidRPr="007000A6">
        <w:rPr>
          <w:rFonts w:ascii="Times New Roman" w:hAnsi="Times New Roman" w:cs="Times New Roman"/>
          <w:color w:val="auto"/>
          <w:sz w:val="24"/>
        </w:rPr>
        <w:t xml:space="preserve"> players who return to play after conservative</w:t>
      </w:r>
      <w:r w:rsidR="00A26E14">
        <w:rPr>
          <w:rFonts w:ascii="Times New Roman" w:hAnsi="Times New Roman" w:cs="Times New Roman"/>
          <w:color w:val="auto"/>
          <w:sz w:val="24"/>
        </w:rPr>
        <w:t xml:space="preserve"> treatment and had refracture </w:t>
      </w:r>
      <w:r w:rsidRPr="007000A6">
        <w:rPr>
          <w:rFonts w:ascii="Times New Roman" w:hAnsi="Times New Roman" w:cs="Times New Roman"/>
          <w:color w:val="auto"/>
          <w:sz w:val="24"/>
        </w:rPr>
        <w:t xml:space="preserve"> (n=6)</w:t>
      </w:r>
      <w:r w:rsidR="004567F8">
        <w:rPr>
          <w:rFonts w:ascii="Times New Roman" w:hAnsi="Times New Roman" w:cs="Times New Roman"/>
          <w:color w:val="auto"/>
          <w:sz w:val="24"/>
        </w:rPr>
        <w:t xml:space="preserve"> (p&gt;0.05)</w:t>
      </w:r>
      <w:r w:rsidRPr="007000A6">
        <w:rPr>
          <w:rFonts w:ascii="Times New Roman" w:hAnsi="Times New Roman" w:cs="Times New Roman"/>
          <w:color w:val="auto"/>
          <w:sz w:val="24"/>
        </w:rPr>
        <w:t>.</w:t>
      </w:r>
    </w:p>
    <w:p w14:paraId="1732E638" w14:textId="3A712429" w:rsidR="00670287" w:rsidRDefault="00AF38BB" w:rsidP="00AE6BEE">
      <w:pPr>
        <w:spacing w:line="360" w:lineRule="auto"/>
        <w:jc w:val="both"/>
        <w:rPr>
          <w:rFonts w:ascii="Times New Roman" w:hAnsi="Times New Roman" w:cs="Times New Roman"/>
          <w:sz w:val="24"/>
          <w:lang w:val="en-US"/>
        </w:rPr>
      </w:pPr>
      <w:r>
        <w:rPr>
          <w:rFonts w:ascii="Times New Roman" w:hAnsi="Times New Roman" w:cs="Times New Roman"/>
          <w:sz w:val="24"/>
          <w:lang w:val="en-US"/>
        </w:rPr>
        <w:br/>
      </w:r>
    </w:p>
    <w:p w14:paraId="029BF693" w14:textId="2184FBA8" w:rsidR="00AF38BB" w:rsidRPr="009C5CBE" w:rsidRDefault="00AF38BB" w:rsidP="00AE6BEE">
      <w:pPr>
        <w:spacing w:line="360" w:lineRule="auto"/>
        <w:jc w:val="both"/>
        <w:rPr>
          <w:rFonts w:ascii="Times New Roman" w:hAnsi="Times New Roman" w:cs="Times New Roman"/>
          <w:sz w:val="24"/>
          <w:lang w:val="en-US"/>
        </w:rPr>
      </w:pPr>
    </w:p>
    <w:sectPr w:rsidR="00AF38BB" w:rsidRPr="009C5CB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784DE1" w14:textId="77777777" w:rsidR="00526128" w:rsidRDefault="00526128" w:rsidP="003004C2">
      <w:pPr>
        <w:spacing w:after="0" w:line="240" w:lineRule="auto"/>
      </w:pPr>
      <w:r>
        <w:separator/>
      </w:r>
    </w:p>
  </w:endnote>
  <w:endnote w:type="continuationSeparator" w:id="0">
    <w:p w14:paraId="4969406B" w14:textId="77777777" w:rsidR="00526128" w:rsidRDefault="00526128" w:rsidP="003004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4000ACFF" w:usb2="00000001" w:usb3="00000000" w:csb0="000001FF" w:csb1="00000000"/>
  </w:font>
  <w:font w:name="Times New Roman">
    <w:panose1 w:val="02020603050405020304"/>
    <w:charset w:val="EE"/>
    <w:family w:val="roman"/>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9270E9" w14:textId="77777777" w:rsidR="00526128" w:rsidRDefault="00526128" w:rsidP="003004C2">
      <w:pPr>
        <w:spacing w:after="0" w:line="240" w:lineRule="auto"/>
      </w:pPr>
      <w:r>
        <w:separator/>
      </w:r>
    </w:p>
  </w:footnote>
  <w:footnote w:type="continuationSeparator" w:id="0">
    <w:p w14:paraId="2551B023" w14:textId="77777777" w:rsidR="00526128" w:rsidRDefault="00526128" w:rsidP="003004C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708"/>
    <w:rsid w:val="0001649F"/>
    <w:rsid w:val="00025127"/>
    <w:rsid w:val="00034849"/>
    <w:rsid w:val="00044A20"/>
    <w:rsid w:val="00074BFF"/>
    <w:rsid w:val="00074CB9"/>
    <w:rsid w:val="00085708"/>
    <w:rsid w:val="00085C5A"/>
    <w:rsid w:val="0009010D"/>
    <w:rsid w:val="000A3F11"/>
    <w:rsid w:val="000B0280"/>
    <w:rsid w:val="000B7F97"/>
    <w:rsid w:val="000D7F86"/>
    <w:rsid w:val="000F2A91"/>
    <w:rsid w:val="00140BFC"/>
    <w:rsid w:val="00152E82"/>
    <w:rsid w:val="00154AA9"/>
    <w:rsid w:val="00155E61"/>
    <w:rsid w:val="00163775"/>
    <w:rsid w:val="00164104"/>
    <w:rsid w:val="00170C50"/>
    <w:rsid w:val="001A46BA"/>
    <w:rsid w:val="001B3CCD"/>
    <w:rsid w:val="001D6817"/>
    <w:rsid w:val="001E47E5"/>
    <w:rsid w:val="001F21AB"/>
    <w:rsid w:val="002131EC"/>
    <w:rsid w:val="00227C1E"/>
    <w:rsid w:val="0024186F"/>
    <w:rsid w:val="0026170A"/>
    <w:rsid w:val="00266FE8"/>
    <w:rsid w:val="002709A3"/>
    <w:rsid w:val="0027361E"/>
    <w:rsid w:val="00276026"/>
    <w:rsid w:val="0027691A"/>
    <w:rsid w:val="00282695"/>
    <w:rsid w:val="002854E2"/>
    <w:rsid w:val="00286D4C"/>
    <w:rsid w:val="00290242"/>
    <w:rsid w:val="00292395"/>
    <w:rsid w:val="002B6F4F"/>
    <w:rsid w:val="002C383A"/>
    <w:rsid w:val="003004C2"/>
    <w:rsid w:val="00310FA6"/>
    <w:rsid w:val="00322FF2"/>
    <w:rsid w:val="003267D0"/>
    <w:rsid w:val="00336BFA"/>
    <w:rsid w:val="00376773"/>
    <w:rsid w:val="00382C46"/>
    <w:rsid w:val="003A0525"/>
    <w:rsid w:val="003A4D09"/>
    <w:rsid w:val="003B1953"/>
    <w:rsid w:val="003D43E3"/>
    <w:rsid w:val="00403D6F"/>
    <w:rsid w:val="00411F6D"/>
    <w:rsid w:val="004153ED"/>
    <w:rsid w:val="00430CF0"/>
    <w:rsid w:val="00431075"/>
    <w:rsid w:val="00431534"/>
    <w:rsid w:val="00451772"/>
    <w:rsid w:val="004567F8"/>
    <w:rsid w:val="004965CF"/>
    <w:rsid w:val="004A10A6"/>
    <w:rsid w:val="004C4036"/>
    <w:rsid w:val="004D6DE2"/>
    <w:rsid w:val="00505B57"/>
    <w:rsid w:val="00513D8B"/>
    <w:rsid w:val="00526128"/>
    <w:rsid w:val="00541781"/>
    <w:rsid w:val="00552FB7"/>
    <w:rsid w:val="00556637"/>
    <w:rsid w:val="005C006A"/>
    <w:rsid w:val="005C4932"/>
    <w:rsid w:val="005C627C"/>
    <w:rsid w:val="005D77C9"/>
    <w:rsid w:val="005E5E26"/>
    <w:rsid w:val="005F1381"/>
    <w:rsid w:val="00604FAF"/>
    <w:rsid w:val="00642CB4"/>
    <w:rsid w:val="00643766"/>
    <w:rsid w:val="00655972"/>
    <w:rsid w:val="00670287"/>
    <w:rsid w:val="0068584A"/>
    <w:rsid w:val="006862CF"/>
    <w:rsid w:val="006914F7"/>
    <w:rsid w:val="006B400C"/>
    <w:rsid w:val="006D1F9A"/>
    <w:rsid w:val="006E36C7"/>
    <w:rsid w:val="007000A6"/>
    <w:rsid w:val="00705D39"/>
    <w:rsid w:val="0071384E"/>
    <w:rsid w:val="007143B4"/>
    <w:rsid w:val="007168B3"/>
    <w:rsid w:val="0072367C"/>
    <w:rsid w:val="00724279"/>
    <w:rsid w:val="00735716"/>
    <w:rsid w:val="00742406"/>
    <w:rsid w:val="007448FC"/>
    <w:rsid w:val="0075641F"/>
    <w:rsid w:val="00763455"/>
    <w:rsid w:val="00772234"/>
    <w:rsid w:val="007B005C"/>
    <w:rsid w:val="007C6B9A"/>
    <w:rsid w:val="007D458A"/>
    <w:rsid w:val="00802FFF"/>
    <w:rsid w:val="008146A3"/>
    <w:rsid w:val="00814D7F"/>
    <w:rsid w:val="008252FB"/>
    <w:rsid w:val="00830444"/>
    <w:rsid w:val="00834293"/>
    <w:rsid w:val="008370A0"/>
    <w:rsid w:val="0085164A"/>
    <w:rsid w:val="00863F0B"/>
    <w:rsid w:val="008805D6"/>
    <w:rsid w:val="008D6FC2"/>
    <w:rsid w:val="00925136"/>
    <w:rsid w:val="0094552A"/>
    <w:rsid w:val="009706B6"/>
    <w:rsid w:val="009B0E28"/>
    <w:rsid w:val="009C0308"/>
    <w:rsid w:val="009C5CBE"/>
    <w:rsid w:val="00A006BE"/>
    <w:rsid w:val="00A00A43"/>
    <w:rsid w:val="00A26E14"/>
    <w:rsid w:val="00A51EF7"/>
    <w:rsid w:val="00A5225D"/>
    <w:rsid w:val="00A72FA3"/>
    <w:rsid w:val="00A75D89"/>
    <w:rsid w:val="00A8338C"/>
    <w:rsid w:val="00A90B40"/>
    <w:rsid w:val="00AC3F6A"/>
    <w:rsid w:val="00AE6BEE"/>
    <w:rsid w:val="00AF38BB"/>
    <w:rsid w:val="00B16B9A"/>
    <w:rsid w:val="00B306E7"/>
    <w:rsid w:val="00B431B9"/>
    <w:rsid w:val="00B616B9"/>
    <w:rsid w:val="00B97F17"/>
    <w:rsid w:val="00BA4C13"/>
    <w:rsid w:val="00BB271B"/>
    <w:rsid w:val="00BB3E18"/>
    <w:rsid w:val="00BE0751"/>
    <w:rsid w:val="00C2383C"/>
    <w:rsid w:val="00C32EB3"/>
    <w:rsid w:val="00C46832"/>
    <w:rsid w:val="00C6026C"/>
    <w:rsid w:val="00C64B12"/>
    <w:rsid w:val="00C64C8A"/>
    <w:rsid w:val="00C708A4"/>
    <w:rsid w:val="00C857EE"/>
    <w:rsid w:val="00C90AA1"/>
    <w:rsid w:val="00C96631"/>
    <w:rsid w:val="00CC43CB"/>
    <w:rsid w:val="00CF7544"/>
    <w:rsid w:val="00D12659"/>
    <w:rsid w:val="00D3162E"/>
    <w:rsid w:val="00D34FF4"/>
    <w:rsid w:val="00D55128"/>
    <w:rsid w:val="00D905B6"/>
    <w:rsid w:val="00D94290"/>
    <w:rsid w:val="00DA04C7"/>
    <w:rsid w:val="00DB6560"/>
    <w:rsid w:val="00DC0E56"/>
    <w:rsid w:val="00DD6E55"/>
    <w:rsid w:val="00E03398"/>
    <w:rsid w:val="00E06007"/>
    <w:rsid w:val="00E10C01"/>
    <w:rsid w:val="00E254C8"/>
    <w:rsid w:val="00E52572"/>
    <w:rsid w:val="00E606DC"/>
    <w:rsid w:val="00E829F2"/>
    <w:rsid w:val="00E853D7"/>
    <w:rsid w:val="00E96389"/>
    <w:rsid w:val="00EA056D"/>
    <w:rsid w:val="00EA4E68"/>
    <w:rsid w:val="00EB3996"/>
    <w:rsid w:val="00EC3876"/>
    <w:rsid w:val="00EC488F"/>
    <w:rsid w:val="00EC4FFF"/>
    <w:rsid w:val="00ED43E3"/>
    <w:rsid w:val="00EE2AD4"/>
    <w:rsid w:val="00EF0315"/>
    <w:rsid w:val="00EF50C2"/>
    <w:rsid w:val="00F12230"/>
    <w:rsid w:val="00F36454"/>
    <w:rsid w:val="00F448BE"/>
    <w:rsid w:val="00F46FEB"/>
    <w:rsid w:val="00F51DE4"/>
    <w:rsid w:val="00F5561B"/>
    <w:rsid w:val="00F733ED"/>
    <w:rsid w:val="00F854AB"/>
    <w:rsid w:val="00FC3425"/>
    <w:rsid w:val="00FD46C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D508FD"/>
  <w15:chartTrackingRefBased/>
  <w15:docId w15:val="{E936AF4F-AB23-40E5-83AE-8A36424B4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7448FC"/>
    <w:rPr>
      <w:color w:val="0000FF"/>
      <w:u w:val="single"/>
    </w:rPr>
  </w:style>
  <w:style w:type="character" w:customStyle="1" w:styleId="ref-journal">
    <w:name w:val="ref-journal"/>
    <w:basedOn w:val="Domylnaczcionkaakapitu"/>
    <w:rsid w:val="007448FC"/>
  </w:style>
  <w:style w:type="character" w:customStyle="1" w:styleId="ref-vol">
    <w:name w:val="ref-vol"/>
    <w:basedOn w:val="Domylnaczcionkaakapitu"/>
    <w:rsid w:val="007448FC"/>
  </w:style>
  <w:style w:type="paragraph" w:styleId="NormalnyWeb">
    <w:name w:val="Normal (Web)"/>
    <w:basedOn w:val="Normalny"/>
    <w:uiPriority w:val="99"/>
    <w:unhideWhenUsed/>
    <w:rsid w:val="007448FC"/>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element-citation">
    <w:name w:val="element-citation"/>
    <w:basedOn w:val="Domylnaczcionkaakapitu"/>
    <w:rsid w:val="007448FC"/>
  </w:style>
  <w:style w:type="character" w:styleId="Uwydatnienie">
    <w:name w:val="Emphasis"/>
    <w:basedOn w:val="Domylnaczcionkaakapitu"/>
    <w:uiPriority w:val="20"/>
    <w:qFormat/>
    <w:rsid w:val="007448FC"/>
    <w:rPr>
      <w:i/>
      <w:iCs/>
    </w:rPr>
  </w:style>
  <w:style w:type="table" w:styleId="Tabela-Siatka">
    <w:name w:val="Table Grid"/>
    <w:basedOn w:val="Standardowy"/>
    <w:uiPriority w:val="59"/>
    <w:rsid w:val="0027691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egenda">
    <w:name w:val="caption"/>
    <w:basedOn w:val="Normalny"/>
    <w:next w:val="Normalny"/>
    <w:uiPriority w:val="35"/>
    <w:unhideWhenUsed/>
    <w:qFormat/>
    <w:rsid w:val="0027691A"/>
    <w:pPr>
      <w:spacing w:after="200" w:line="240" w:lineRule="auto"/>
    </w:pPr>
    <w:rPr>
      <w:i/>
      <w:iCs/>
      <w:color w:val="44546A" w:themeColor="text2"/>
      <w:sz w:val="18"/>
      <w:szCs w:val="18"/>
    </w:rPr>
  </w:style>
  <w:style w:type="character" w:styleId="Odwoaniedokomentarza">
    <w:name w:val="annotation reference"/>
    <w:basedOn w:val="Domylnaczcionkaakapitu"/>
    <w:uiPriority w:val="99"/>
    <w:semiHidden/>
    <w:unhideWhenUsed/>
    <w:rsid w:val="00D34FF4"/>
    <w:rPr>
      <w:sz w:val="16"/>
      <w:szCs w:val="16"/>
    </w:rPr>
  </w:style>
  <w:style w:type="paragraph" w:styleId="Tekstkomentarza">
    <w:name w:val="annotation text"/>
    <w:basedOn w:val="Normalny"/>
    <w:link w:val="TekstkomentarzaZnak"/>
    <w:uiPriority w:val="99"/>
    <w:semiHidden/>
    <w:unhideWhenUsed/>
    <w:rsid w:val="00D34FF4"/>
    <w:pPr>
      <w:spacing w:after="200" w:line="240" w:lineRule="auto"/>
    </w:pPr>
    <w:rPr>
      <w:sz w:val="20"/>
      <w:szCs w:val="20"/>
    </w:rPr>
  </w:style>
  <w:style w:type="character" w:customStyle="1" w:styleId="TekstkomentarzaZnak">
    <w:name w:val="Tekst komentarza Znak"/>
    <w:basedOn w:val="Domylnaczcionkaakapitu"/>
    <w:link w:val="Tekstkomentarza"/>
    <w:uiPriority w:val="99"/>
    <w:semiHidden/>
    <w:rsid w:val="00D34FF4"/>
    <w:rPr>
      <w:sz w:val="20"/>
      <w:szCs w:val="20"/>
    </w:rPr>
  </w:style>
  <w:style w:type="paragraph" w:styleId="Tekstdymka">
    <w:name w:val="Balloon Text"/>
    <w:basedOn w:val="Normalny"/>
    <w:link w:val="TekstdymkaZnak"/>
    <w:uiPriority w:val="99"/>
    <w:semiHidden/>
    <w:unhideWhenUsed/>
    <w:rsid w:val="00E10C0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10C01"/>
    <w:rPr>
      <w:rFonts w:ascii="Segoe UI" w:hAnsi="Segoe UI" w:cs="Segoe UI"/>
      <w:sz w:val="18"/>
      <w:szCs w:val="18"/>
    </w:rPr>
  </w:style>
  <w:style w:type="paragraph" w:styleId="Tematkomentarza">
    <w:name w:val="annotation subject"/>
    <w:basedOn w:val="Tekstkomentarza"/>
    <w:next w:val="Tekstkomentarza"/>
    <w:link w:val="TematkomentarzaZnak"/>
    <w:uiPriority w:val="99"/>
    <w:semiHidden/>
    <w:unhideWhenUsed/>
    <w:rsid w:val="00A00A43"/>
    <w:pPr>
      <w:spacing w:after="160"/>
    </w:pPr>
    <w:rPr>
      <w:b/>
      <w:bCs/>
    </w:rPr>
  </w:style>
  <w:style w:type="character" w:customStyle="1" w:styleId="TematkomentarzaZnak">
    <w:name w:val="Temat komentarza Znak"/>
    <w:basedOn w:val="TekstkomentarzaZnak"/>
    <w:link w:val="Tematkomentarza"/>
    <w:uiPriority w:val="99"/>
    <w:semiHidden/>
    <w:rsid w:val="00A00A43"/>
    <w:rPr>
      <w:b/>
      <w:bCs/>
      <w:sz w:val="20"/>
      <w:szCs w:val="20"/>
    </w:rPr>
  </w:style>
  <w:style w:type="paragraph" w:styleId="Nagwek">
    <w:name w:val="header"/>
    <w:basedOn w:val="Normalny"/>
    <w:link w:val="NagwekZnak"/>
    <w:uiPriority w:val="99"/>
    <w:unhideWhenUsed/>
    <w:rsid w:val="003004C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004C2"/>
  </w:style>
  <w:style w:type="paragraph" w:styleId="Stopka">
    <w:name w:val="footer"/>
    <w:basedOn w:val="Normalny"/>
    <w:link w:val="StopkaZnak"/>
    <w:uiPriority w:val="99"/>
    <w:unhideWhenUsed/>
    <w:rsid w:val="003004C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004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094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3C2D1-A28B-4C9A-B5D0-0B8FCBC9F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18</Pages>
  <Words>4217</Words>
  <Characters>25303</Characters>
  <Application>Microsoft Office Word</Application>
  <DocSecurity>0</DocSecurity>
  <Lines>210</Lines>
  <Paragraphs>58</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Paweł Gwiazdoń</dc:creator>
  <cp:keywords/>
  <dc:description/>
  <cp:lastModifiedBy>WERONISIA</cp:lastModifiedBy>
  <cp:revision>4</cp:revision>
  <dcterms:created xsi:type="dcterms:W3CDTF">2021-06-03T20:17:00Z</dcterms:created>
  <dcterms:modified xsi:type="dcterms:W3CDTF">2021-06-03T20:47:00Z</dcterms:modified>
</cp:coreProperties>
</file>